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ECB520">
      <w:pPr>
        <w:rPr>
          <w:rFonts w:hint="eastAsia"/>
          <w:color w:val="auto"/>
          <w:highlight w:val="none"/>
        </w:rPr>
      </w:pPr>
    </w:p>
    <w:p w14:paraId="3067312E">
      <w:pPr>
        <w:rPr>
          <w:rFonts w:hint="eastAsia"/>
          <w:color w:val="auto"/>
          <w:highlight w:val="none"/>
        </w:rPr>
      </w:pPr>
    </w:p>
    <w:p w14:paraId="76457342">
      <w:pPr>
        <w:rPr>
          <w:rFonts w:hint="eastAsia"/>
          <w:color w:val="auto"/>
          <w:highlight w:val="none"/>
        </w:rPr>
      </w:pPr>
    </w:p>
    <w:p w14:paraId="1C142F82">
      <w:pPr>
        <w:rPr>
          <w:rFonts w:hint="eastAsia"/>
          <w:color w:val="auto"/>
          <w:highlight w:val="none"/>
        </w:rPr>
      </w:pPr>
    </w:p>
    <w:p w14:paraId="564CDCD5">
      <w:pPr>
        <w:jc w:val="center"/>
        <w:rPr>
          <w:rFonts w:hint="eastAsia"/>
          <w:color w:val="auto"/>
          <w:highlight w:val="none"/>
        </w:rPr>
      </w:pPr>
      <w:r>
        <w:rPr>
          <w:rFonts w:hint="eastAsia"/>
          <w:color w:val="auto"/>
          <w:sz w:val="44"/>
          <w:szCs w:val="44"/>
          <w:highlight w:val="none"/>
          <w:lang w:eastAsia="zh-CN"/>
        </w:rPr>
        <w:t>浙江巨化化工矿业有限公司后塘弄尾矿库闭库及恢复林业生产条件和森林覆盖项目</w:t>
      </w:r>
    </w:p>
    <w:p w14:paraId="6007D432">
      <w:pPr>
        <w:rPr>
          <w:rFonts w:hint="eastAsia"/>
          <w:color w:val="auto"/>
          <w:highlight w:val="none"/>
        </w:rPr>
      </w:pPr>
    </w:p>
    <w:p w14:paraId="12A52C42">
      <w:pPr>
        <w:rPr>
          <w:rFonts w:hint="eastAsia"/>
          <w:color w:val="auto"/>
          <w:highlight w:val="none"/>
        </w:rPr>
      </w:pPr>
    </w:p>
    <w:p w14:paraId="28590675">
      <w:pPr>
        <w:jc w:val="center"/>
        <w:rPr>
          <w:rFonts w:hint="eastAsia" w:ascii="黑体" w:hAnsi="黑体" w:eastAsia="黑体"/>
          <w:b/>
          <w:color w:val="auto"/>
          <w:sz w:val="84"/>
          <w:szCs w:val="84"/>
          <w:highlight w:val="none"/>
        </w:rPr>
      </w:pPr>
      <w:bookmarkStart w:id="0" w:name="_Toc187746378"/>
      <w:bookmarkStart w:id="1" w:name="_Toc148974041"/>
      <w:bookmarkStart w:id="2" w:name="_Toc188164772"/>
      <w:bookmarkStart w:id="3" w:name="_Toc187661408"/>
      <w:bookmarkStart w:id="4" w:name="_Toc221325909"/>
      <w:bookmarkStart w:id="5" w:name="_Toc188162914"/>
      <w:bookmarkStart w:id="6" w:name="_Toc188166400"/>
      <w:bookmarkStart w:id="7" w:name="_Toc148975302"/>
      <w:r>
        <w:rPr>
          <w:rFonts w:hint="eastAsia" w:ascii="黑体" w:hAnsi="黑体" w:eastAsia="黑体"/>
          <w:b/>
          <w:color w:val="auto"/>
          <w:sz w:val="84"/>
          <w:szCs w:val="84"/>
          <w:highlight w:val="none"/>
        </w:rPr>
        <w:t>招  标  文  件</w:t>
      </w:r>
      <w:bookmarkEnd w:id="0"/>
      <w:bookmarkEnd w:id="1"/>
      <w:bookmarkEnd w:id="2"/>
      <w:bookmarkEnd w:id="3"/>
      <w:bookmarkEnd w:id="4"/>
      <w:bookmarkEnd w:id="5"/>
      <w:bookmarkEnd w:id="6"/>
      <w:bookmarkEnd w:id="7"/>
    </w:p>
    <w:p w14:paraId="2051FDD0">
      <w:pPr>
        <w:spacing w:before="312" w:beforeLines="100" w:after="312" w:afterLines="100" w:line="300" w:lineRule="auto"/>
        <w:jc w:val="center"/>
        <w:rPr>
          <w:rFonts w:hint="eastAsia" w:ascii="宋体" w:hAnsi="宋体"/>
          <w:bCs/>
          <w:color w:val="auto"/>
          <w:sz w:val="32"/>
          <w:szCs w:val="32"/>
          <w:highlight w:val="none"/>
        </w:rPr>
      </w:pPr>
      <w:r>
        <w:rPr>
          <w:rFonts w:hint="eastAsia" w:ascii="宋体" w:hAnsi="宋体"/>
          <w:bCs/>
          <w:color w:val="auto"/>
          <w:spacing w:val="41"/>
          <w:kern w:val="0"/>
          <w:sz w:val="32"/>
          <w:szCs w:val="32"/>
          <w:highlight w:val="none"/>
        </w:rPr>
        <w:t>（招标编号：NFZB-</w:t>
      </w:r>
      <w:r>
        <w:rPr>
          <w:rFonts w:hint="eastAsia" w:ascii="宋体" w:hAnsi="宋体"/>
          <w:bCs/>
          <w:color w:val="auto"/>
          <w:spacing w:val="41"/>
          <w:kern w:val="0"/>
          <w:sz w:val="32"/>
          <w:szCs w:val="32"/>
          <w:highlight w:val="none"/>
          <w:lang w:eastAsia="zh-CN"/>
        </w:rPr>
        <w:t>20250407</w:t>
      </w:r>
      <w:r>
        <w:rPr>
          <w:rFonts w:hint="eastAsia" w:ascii="宋体" w:hAnsi="宋体"/>
          <w:bCs/>
          <w:color w:val="auto"/>
          <w:spacing w:val="2"/>
          <w:kern w:val="0"/>
          <w:sz w:val="32"/>
          <w:szCs w:val="32"/>
          <w:highlight w:val="none"/>
        </w:rPr>
        <w:t>）</w:t>
      </w:r>
    </w:p>
    <w:p w14:paraId="6D1F56A3">
      <w:pPr>
        <w:rPr>
          <w:rFonts w:hint="eastAsia"/>
          <w:color w:val="auto"/>
          <w:highlight w:val="none"/>
        </w:rPr>
      </w:pPr>
    </w:p>
    <w:p w14:paraId="3717808B">
      <w:pPr>
        <w:rPr>
          <w:rFonts w:hint="eastAsia"/>
          <w:color w:val="auto"/>
          <w:highlight w:val="none"/>
        </w:rPr>
      </w:pPr>
    </w:p>
    <w:p w14:paraId="4C8444D1">
      <w:pPr>
        <w:rPr>
          <w:rFonts w:hint="eastAsia"/>
          <w:color w:val="auto"/>
          <w:highlight w:val="none"/>
        </w:rPr>
      </w:pPr>
    </w:p>
    <w:p w14:paraId="46060998">
      <w:pPr>
        <w:rPr>
          <w:rFonts w:hint="eastAsia"/>
          <w:color w:val="auto"/>
          <w:highlight w:val="none"/>
        </w:rPr>
      </w:pPr>
    </w:p>
    <w:p w14:paraId="18501DCD">
      <w:pPr>
        <w:rPr>
          <w:rFonts w:hint="eastAsia"/>
          <w:color w:val="auto"/>
          <w:highlight w:val="none"/>
        </w:rPr>
      </w:pPr>
    </w:p>
    <w:p w14:paraId="3DE7A4D9">
      <w:pPr>
        <w:rPr>
          <w:rFonts w:hint="eastAsia"/>
          <w:color w:val="auto"/>
          <w:highlight w:val="none"/>
        </w:rPr>
      </w:pPr>
    </w:p>
    <w:p w14:paraId="02D3AAC7">
      <w:pPr>
        <w:rPr>
          <w:rFonts w:hint="eastAsia"/>
          <w:color w:val="auto"/>
          <w:highlight w:val="none"/>
        </w:rPr>
      </w:pPr>
    </w:p>
    <w:p w14:paraId="1027F5BB">
      <w:pPr>
        <w:rPr>
          <w:rFonts w:hint="eastAsia"/>
          <w:color w:val="auto"/>
          <w:highlight w:val="none"/>
        </w:rPr>
      </w:pPr>
    </w:p>
    <w:p w14:paraId="47A6202F">
      <w:pPr>
        <w:rPr>
          <w:rFonts w:hint="eastAsia"/>
          <w:color w:val="auto"/>
          <w:highlight w:val="none"/>
        </w:rPr>
      </w:pPr>
    </w:p>
    <w:tbl>
      <w:tblPr>
        <w:tblStyle w:val="21"/>
        <w:tblW w:w="0" w:type="auto"/>
        <w:jc w:val="center"/>
        <w:tblLayout w:type="fixed"/>
        <w:tblCellMar>
          <w:top w:w="0" w:type="dxa"/>
          <w:left w:w="108" w:type="dxa"/>
          <w:bottom w:w="0" w:type="dxa"/>
          <w:right w:w="108" w:type="dxa"/>
        </w:tblCellMar>
      </w:tblPr>
      <w:tblGrid>
        <w:gridCol w:w="1914"/>
        <w:gridCol w:w="5198"/>
      </w:tblGrid>
      <w:tr w14:paraId="018A9F9A">
        <w:tblPrEx>
          <w:tblCellMar>
            <w:top w:w="0" w:type="dxa"/>
            <w:left w:w="108" w:type="dxa"/>
            <w:bottom w:w="0" w:type="dxa"/>
            <w:right w:w="108" w:type="dxa"/>
          </w:tblCellMar>
        </w:tblPrEx>
        <w:trPr>
          <w:trHeight w:val="596" w:hRule="atLeast"/>
          <w:jc w:val="center"/>
        </w:trPr>
        <w:tc>
          <w:tcPr>
            <w:tcW w:w="1914" w:type="dxa"/>
            <w:noWrap/>
            <w:vAlign w:val="center"/>
          </w:tcPr>
          <w:p w14:paraId="7BA338DB">
            <w:pPr>
              <w:spacing w:line="440" w:lineRule="exact"/>
              <w:jc w:val="distribute"/>
              <w:rPr>
                <w:rFonts w:hint="eastAsia" w:ascii="宋体" w:hAnsi="宋体" w:cs="宋体"/>
                <w:b/>
                <w:color w:val="auto"/>
                <w:sz w:val="28"/>
                <w:szCs w:val="28"/>
                <w:highlight w:val="none"/>
              </w:rPr>
            </w:pPr>
            <w:r>
              <w:rPr>
                <w:rFonts w:hint="eastAsia" w:ascii="宋体" w:hAnsi="宋体" w:cs="宋体"/>
                <w:b/>
                <w:color w:val="auto"/>
                <w:sz w:val="28"/>
                <w:szCs w:val="28"/>
                <w:highlight w:val="none"/>
              </w:rPr>
              <w:t>招标人：</w:t>
            </w:r>
          </w:p>
        </w:tc>
        <w:tc>
          <w:tcPr>
            <w:tcW w:w="5198" w:type="dxa"/>
            <w:noWrap/>
            <w:vAlign w:val="center"/>
          </w:tcPr>
          <w:p w14:paraId="525DACCF">
            <w:pPr>
              <w:spacing w:line="440" w:lineRule="exact"/>
              <w:jc w:val="distribute"/>
              <w:rPr>
                <w:rFonts w:hint="eastAsia" w:ascii="宋体" w:hAnsi="宋体" w:eastAsia="宋体" w:cs="宋体"/>
                <w:b/>
                <w:color w:val="auto"/>
                <w:sz w:val="28"/>
                <w:szCs w:val="28"/>
                <w:highlight w:val="none"/>
                <w:lang w:eastAsia="zh-CN"/>
              </w:rPr>
            </w:pPr>
            <w:r>
              <w:rPr>
                <w:rFonts w:hint="eastAsia" w:ascii="宋体" w:hAnsi="宋体" w:cs="宋体"/>
                <w:b/>
                <w:color w:val="auto"/>
                <w:sz w:val="28"/>
                <w:szCs w:val="28"/>
                <w:highlight w:val="none"/>
                <w:lang w:eastAsia="zh-CN"/>
              </w:rPr>
              <w:t>浙江巨化化工矿业有限公司</w:t>
            </w:r>
          </w:p>
        </w:tc>
      </w:tr>
      <w:tr w14:paraId="4525F3E7">
        <w:tblPrEx>
          <w:tblCellMar>
            <w:top w:w="0" w:type="dxa"/>
            <w:left w:w="108" w:type="dxa"/>
            <w:bottom w:w="0" w:type="dxa"/>
            <w:right w:w="108" w:type="dxa"/>
          </w:tblCellMar>
        </w:tblPrEx>
        <w:trPr>
          <w:trHeight w:val="596" w:hRule="atLeast"/>
          <w:jc w:val="center"/>
        </w:trPr>
        <w:tc>
          <w:tcPr>
            <w:tcW w:w="1914" w:type="dxa"/>
            <w:noWrap/>
            <w:vAlign w:val="top"/>
          </w:tcPr>
          <w:p w14:paraId="425D6A59">
            <w:pPr>
              <w:spacing w:line="440" w:lineRule="exact"/>
              <w:rPr>
                <w:rFonts w:hint="eastAsia" w:ascii="宋体" w:hAnsi="宋体" w:cs="宋体"/>
                <w:b/>
                <w:color w:val="auto"/>
                <w:sz w:val="28"/>
                <w:szCs w:val="28"/>
                <w:highlight w:val="none"/>
              </w:rPr>
            </w:pPr>
            <w:r>
              <w:rPr>
                <w:rFonts w:hint="eastAsia" w:ascii="宋体" w:hAnsi="宋体" w:cs="宋体"/>
                <w:b/>
                <w:color w:val="auto"/>
                <w:sz w:val="28"/>
                <w:szCs w:val="28"/>
                <w:highlight w:val="none"/>
              </w:rPr>
              <w:t>招标机构：</w:t>
            </w:r>
          </w:p>
        </w:tc>
        <w:tc>
          <w:tcPr>
            <w:tcW w:w="5198" w:type="dxa"/>
            <w:noWrap/>
            <w:vAlign w:val="top"/>
          </w:tcPr>
          <w:p w14:paraId="57147A7F">
            <w:pPr>
              <w:spacing w:line="440" w:lineRule="exact"/>
              <w:jc w:val="distribute"/>
              <w:rPr>
                <w:rFonts w:hint="eastAsia" w:ascii="宋体" w:hAnsi="宋体" w:cs="宋体"/>
                <w:b/>
                <w:color w:val="auto"/>
                <w:sz w:val="28"/>
                <w:szCs w:val="28"/>
                <w:highlight w:val="none"/>
              </w:rPr>
            </w:pPr>
            <w:r>
              <w:rPr>
                <w:rFonts w:hint="eastAsia" w:ascii="宋体" w:hAnsi="宋体" w:cs="宋体"/>
                <w:b/>
                <w:color w:val="auto"/>
                <w:sz w:val="28"/>
                <w:szCs w:val="28"/>
                <w:highlight w:val="none"/>
              </w:rPr>
              <w:t>浙江南方工程咨询管理有限公司</w:t>
            </w:r>
          </w:p>
        </w:tc>
      </w:tr>
      <w:tr w14:paraId="29875D49">
        <w:tblPrEx>
          <w:tblCellMar>
            <w:top w:w="0" w:type="dxa"/>
            <w:left w:w="108" w:type="dxa"/>
            <w:bottom w:w="0" w:type="dxa"/>
            <w:right w:w="108" w:type="dxa"/>
          </w:tblCellMar>
        </w:tblPrEx>
        <w:trPr>
          <w:trHeight w:val="596" w:hRule="atLeast"/>
          <w:jc w:val="center"/>
        </w:trPr>
        <w:tc>
          <w:tcPr>
            <w:tcW w:w="1914" w:type="dxa"/>
            <w:noWrap/>
            <w:vAlign w:val="top"/>
          </w:tcPr>
          <w:p w14:paraId="070E5478">
            <w:pPr>
              <w:spacing w:line="440" w:lineRule="exact"/>
              <w:jc w:val="distribute"/>
              <w:rPr>
                <w:rFonts w:hint="eastAsia" w:ascii="宋体" w:hAnsi="宋体" w:cs="宋体"/>
                <w:b/>
                <w:color w:val="auto"/>
                <w:sz w:val="28"/>
                <w:szCs w:val="28"/>
                <w:highlight w:val="none"/>
              </w:rPr>
            </w:pPr>
            <w:r>
              <w:rPr>
                <w:rFonts w:hint="eastAsia" w:ascii="宋体" w:hAnsi="宋体" w:cs="宋体"/>
                <w:b/>
                <w:color w:val="auto"/>
                <w:sz w:val="28"/>
                <w:szCs w:val="28"/>
                <w:highlight w:val="none"/>
              </w:rPr>
              <w:t>审核单位：</w:t>
            </w:r>
          </w:p>
        </w:tc>
        <w:tc>
          <w:tcPr>
            <w:tcW w:w="5198" w:type="dxa"/>
            <w:noWrap/>
            <w:vAlign w:val="top"/>
          </w:tcPr>
          <w:p w14:paraId="55AA79EA">
            <w:pPr>
              <w:spacing w:line="440" w:lineRule="exact"/>
              <w:jc w:val="distribute"/>
              <w:rPr>
                <w:rFonts w:hint="eastAsia" w:ascii="宋体" w:hAnsi="宋体" w:cs="宋体"/>
                <w:b/>
                <w:color w:val="auto"/>
                <w:sz w:val="28"/>
                <w:szCs w:val="28"/>
                <w:highlight w:val="none"/>
              </w:rPr>
            </w:pPr>
            <w:r>
              <w:rPr>
                <w:rFonts w:hint="eastAsia" w:ascii="宋体" w:hAnsi="宋体" w:cs="宋体"/>
                <w:b/>
                <w:color w:val="auto"/>
                <w:sz w:val="28"/>
                <w:szCs w:val="28"/>
                <w:highlight w:val="none"/>
              </w:rPr>
              <w:t>巨化招标办公室</w:t>
            </w:r>
          </w:p>
        </w:tc>
      </w:tr>
    </w:tbl>
    <w:p w14:paraId="68BFA3FA">
      <w:pPr>
        <w:rPr>
          <w:rFonts w:hint="eastAsia"/>
          <w:color w:val="auto"/>
          <w:highlight w:val="none"/>
        </w:rPr>
      </w:pPr>
    </w:p>
    <w:p w14:paraId="13469108">
      <w:pPr>
        <w:spacing w:line="480" w:lineRule="auto"/>
        <w:ind w:firstLine="3654" w:firstLineChars="1300"/>
        <w:rPr>
          <w:rFonts w:hint="eastAsia" w:ascii="Times New Roman" w:hAnsi="Times New Roman"/>
          <w:color w:val="auto"/>
          <w:highlight w:val="none"/>
        </w:rPr>
      </w:pPr>
      <w:r>
        <w:rPr>
          <w:rFonts w:hint="eastAsia"/>
          <w:b/>
          <w:color w:val="auto"/>
          <w:sz w:val="28"/>
          <w:szCs w:val="28"/>
          <w:highlight w:val="none"/>
        </w:rPr>
        <w:t>日期：  202</w:t>
      </w:r>
      <w:r>
        <w:rPr>
          <w:rFonts w:hint="eastAsia"/>
          <w:b/>
          <w:color w:val="auto"/>
          <w:sz w:val="28"/>
          <w:szCs w:val="28"/>
          <w:highlight w:val="none"/>
          <w:lang w:val="en-US" w:eastAsia="zh-CN"/>
        </w:rPr>
        <w:t>5</w:t>
      </w:r>
      <w:r>
        <w:rPr>
          <w:rFonts w:hint="eastAsia"/>
          <w:b/>
          <w:color w:val="auto"/>
          <w:sz w:val="28"/>
          <w:szCs w:val="28"/>
          <w:highlight w:val="none"/>
        </w:rPr>
        <w:t>年</w:t>
      </w:r>
      <w:r>
        <w:rPr>
          <w:rFonts w:hint="eastAsia"/>
          <w:b/>
          <w:color w:val="auto"/>
          <w:sz w:val="28"/>
          <w:szCs w:val="28"/>
          <w:highlight w:val="none"/>
          <w:lang w:val="en-US" w:eastAsia="zh-CN"/>
        </w:rPr>
        <w:t>4</w:t>
      </w:r>
      <w:r>
        <w:rPr>
          <w:rFonts w:hint="eastAsia"/>
          <w:b/>
          <w:color w:val="auto"/>
          <w:sz w:val="28"/>
          <w:szCs w:val="28"/>
          <w:highlight w:val="none"/>
        </w:rPr>
        <w:t>月</w:t>
      </w:r>
    </w:p>
    <w:p w14:paraId="148D2712">
      <w:pPr>
        <w:spacing w:before="156" w:beforeLines="50" w:line="360" w:lineRule="auto"/>
        <w:ind w:left="3520" w:hanging="3520" w:hangingChars="797"/>
        <w:jc w:val="center"/>
        <w:rPr>
          <w:rFonts w:hint="eastAsia"/>
          <w:color w:val="auto"/>
          <w:highlight w:val="none"/>
        </w:rPr>
      </w:pPr>
      <w:r>
        <w:rPr>
          <w:rFonts w:ascii="黑体" w:hAnsi="黑体" w:eastAsia="黑体"/>
          <w:b/>
          <w:color w:val="auto"/>
          <w:sz w:val="44"/>
          <w:szCs w:val="44"/>
          <w:highlight w:val="none"/>
        </w:rPr>
        <w:br w:type="page"/>
      </w:r>
      <w:r>
        <w:rPr>
          <w:rFonts w:hint="eastAsia" w:ascii="黑体" w:hAnsi="黑体" w:eastAsia="黑体"/>
          <w:b/>
          <w:color w:val="auto"/>
          <w:sz w:val="44"/>
          <w:szCs w:val="44"/>
          <w:highlight w:val="none"/>
        </w:rPr>
        <w:t>目  录</w:t>
      </w:r>
    </w:p>
    <w:p w14:paraId="602B142E">
      <w:pPr>
        <w:ind w:firstLine="640" w:firstLineChars="200"/>
        <w:jc w:val="left"/>
        <w:rPr>
          <w:rFonts w:hint="eastAsia"/>
          <w:color w:val="auto"/>
          <w:sz w:val="32"/>
          <w:szCs w:val="32"/>
          <w:highlight w:val="none"/>
        </w:rPr>
      </w:pPr>
      <w:r>
        <w:rPr>
          <w:rFonts w:hint="eastAsia"/>
          <w:color w:val="auto"/>
          <w:sz w:val="32"/>
          <w:szCs w:val="32"/>
          <w:highlight w:val="none"/>
        </w:rPr>
        <w:t>电子交易须知</w:t>
      </w:r>
    </w:p>
    <w:p w14:paraId="42B99431">
      <w:pPr>
        <w:pStyle w:val="17"/>
        <w:tabs>
          <w:tab w:val="right" w:leader="dot" w:pos="8296"/>
        </w:tabs>
        <w:spacing w:line="360" w:lineRule="auto"/>
        <w:jc w:val="center"/>
        <w:rPr>
          <w:rStyle w:val="26"/>
          <w:color w:val="auto"/>
          <w:sz w:val="32"/>
          <w:szCs w:val="32"/>
          <w:highlight w:val="none"/>
        </w:rPr>
      </w:pPr>
      <w:r>
        <w:rPr>
          <w:rStyle w:val="26"/>
          <w:rFonts w:ascii="黑体" w:eastAsia="黑体"/>
          <w:color w:val="auto"/>
          <w:sz w:val="32"/>
          <w:szCs w:val="32"/>
          <w:highlight w:val="none"/>
        </w:rPr>
        <w:fldChar w:fldCharType="begin"/>
      </w:r>
      <w:r>
        <w:rPr>
          <w:rStyle w:val="26"/>
          <w:rFonts w:ascii="黑体" w:eastAsia="黑体"/>
          <w:color w:val="auto"/>
          <w:sz w:val="32"/>
          <w:szCs w:val="32"/>
          <w:highlight w:val="none"/>
        </w:rPr>
        <w:instrText xml:space="preserve"> </w:instrText>
      </w:r>
      <w:r>
        <w:rPr>
          <w:rStyle w:val="26"/>
          <w:rFonts w:hint="eastAsia" w:ascii="黑体" w:eastAsia="黑体"/>
          <w:color w:val="auto"/>
          <w:sz w:val="32"/>
          <w:szCs w:val="32"/>
          <w:highlight w:val="none"/>
        </w:rPr>
        <w:instrText xml:space="preserve">TOC \o "1-3" \h \z \u</w:instrText>
      </w:r>
      <w:r>
        <w:rPr>
          <w:rStyle w:val="26"/>
          <w:rFonts w:ascii="黑体" w:eastAsia="黑体"/>
          <w:color w:val="auto"/>
          <w:sz w:val="32"/>
          <w:szCs w:val="32"/>
          <w:highlight w:val="none"/>
        </w:rPr>
        <w:instrText xml:space="preserve"> </w:instrText>
      </w:r>
      <w:r>
        <w:rPr>
          <w:rStyle w:val="26"/>
          <w:rFonts w:ascii="黑体" w:eastAsia="黑体"/>
          <w:color w:val="auto"/>
          <w:sz w:val="32"/>
          <w:szCs w:val="32"/>
          <w:highlight w:val="none"/>
        </w:rPr>
        <w:fldChar w:fldCharType="separate"/>
      </w:r>
      <w:r>
        <w:rPr>
          <w:rStyle w:val="26"/>
          <w:color w:val="auto"/>
          <w:sz w:val="32"/>
          <w:szCs w:val="32"/>
          <w:highlight w:val="none"/>
        </w:rPr>
        <w:fldChar w:fldCharType="begin"/>
      </w:r>
      <w:r>
        <w:rPr>
          <w:rStyle w:val="26"/>
          <w:color w:val="auto"/>
          <w:sz w:val="32"/>
          <w:szCs w:val="32"/>
          <w:highlight w:val="none"/>
        </w:rPr>
        <w:instrText xml:space="preserve"> HYPERLINK \l "_Toc72846748" </w:instrText>
      </w:r>
      <w:r>
        <w:rPr>
          <w:rStyle w:val="26"/>
          <w:color w:val="auto"/>
          <w:sz w:val="32"/>
          <w:szCs w:val="32"/>
          <w:highlight w:val="none"/>
        </w:rPr>
        <w:fldChar w:fldCharType="separate"/>
      </w:r>
      <w:r>
        <w:rPr>
          <w:rStyle w:val="26"/>
          <w:rFonts w:hint="eastAsia"/>
          <w:color w:val="auto"/>
          <w:sz w:val="32"/>
          <w:szCs w:val="32"/>
          <w:highlight w:val="none"/>
        </w:rPr>
        <w:t>第一章</w:t>
      </w:r>
      <w:r>
        <w:rPr>
          <w:rStyle w:val="26"/>
          <w:color w:val="auto"/>
          <w:sz w:val="32"/>
          <w:szCs w:val="32"/>
          <w:highlight w:val="none"/>
        </w:rPr>
        <w:t xml:space="preserve">  </w:t>
      </w:r>
      <w:r>
        <w:rPr>
          <w:rStyle w:val="26"/>
          <w:rFonts w:hint="eastAsia"/>
          <w:color w:val="auto"/>
          <w:sz w:val="32"/>
          <w:szCs w:val="32"/>
          <w:highlight w:val="none"/>
        </w:rPr>
        <w:t>招标公告</w:t>
      </w:r>
      <w:r>
        <w:rPr>
          <w:rStyle w:val="26"/>
          <w:color w:val="auto"/>
          <w:sz w:val="32"/>
          <w:szCs w:val="32"/>
          <w:highlight w:val="none"/>
        </w:rPr>
        <w:tab/>
      </w:r>
      <w:r>
        <w:rPr>
          <w:rStyle w:val="26"/>
          <w:rFonts w:hint="eastAsia"/>
          <w:color w:val="auto"/>
          <w:sz w:val="32"/>
          <w:szCs w:val="32"/>
          <w:highlight w:val="none"/>
          <w:lang w:val="en-US" w:eastAsia="zh-CN"/>
        </w:rPr>
        <w:t>5</w:t>
      </w:r>
      <w:r>
        <w:rPr>
          <w:rStyle w:val="26"/>
          <w:color w:val="auto"/>
          <w:sz w:val="32"/>
          <w:szCs w:val="32"/>
          <w:highlight w:val="none"/>
        </w:rPr>
        <w:fldChar w:fldCharType="end"/>
      </w:r>
    </w:p>
    <w:p w14:paraId="2B25AF29">
      <w:pPr>
        <w:pStyle w:val="17"/>
        <w:tabs>
          <w:tab w:val="right" w:leader="dot" w:pos="8296"/>
        </w:tabs>
        <w:spacing w:line="360" w:lineRule="auto"/>
        <w:jc w:val="center"/>
        <w:rPr>
          <w:rStyle w:val="26"/>
          <w:color w:val="auto"/>
          <w:sz w:val="32"/>
          <w:szCs w:val="32"/>
          <w:highlight w:val="none"/>
        </w:rPr>
      </w:pPr>
      <w:r>
        <w:rPr>
          <w:rStyle w:val="26"/>
          <w:color w:val="auto"/>
          <w:sz w:val="32"/>
          <w:szCs w:val="32"/>
          <w:highlight w:val="none"/>
        </w:rPr>
        <w:fldChar w:fldCharType="begin"/>
      </w:r>
      <w:r>
        <w:rPr>
          <w:rStyle w:val="26"/>
          <w:color w:val="auto"/>
          <w:sz w:val="32"/>
          <w:szCs w:val="32"/>
          <w:highlight w:val="none"/>
        </w:rPr>
        <w:instrText xml:space="preserve"> HYPERLINK \l "_Toc72846749" </w:instrText>
      </w:r>
      <w:r>
        <w:rPr>
          <w:rStyle w:val="26"/>
          <w:color w:val="auto"/>
          <w:sz w:val="32"/>
          <w:szCs w:val="32"/>
          <w:highlight w:val="none"/>
        </w:rPr>
        <w:fldChar w:fldCharType="separate"/>
      </w:r>
      <w:r>
        <w:rPr>
          <w:rStyle w:val="26"/>
          <w:rFonts w:hint="eastAsia"/>
          <w:color w:val="auto"/>
          <w:sz w:val="32"/>
          <w:szCs w:val="32"/>
          <w:highlight w:val="none"/>
        </w:rPr>
        <w:t>第二章</w:t>
      </w:r>
      <w:r>
        <w:rPr>
          <w:rStyle w:val="26"/>
          <w:color w:val="auto"/>
          <w:sz w:val="32"/>
          <w:szCs w:val="32"/>
          <w:highlight w:val="none"/>
        </w:rPr>
        <w:t xml:space="preserve">  </w:t>
      </w:r>
      <w:r>
        <w:rPr>
          <w:rStyle w:val="26"/>
          <w:rFonts w:hint="eastAsia"/>
          <w:color w:val="auto"/>
          <w:sz w:val="32"/>
          <w:szCs w:val="32"/>
          <w:highlight w:val="none"/>
        </w:rPr>
        <w:t>投标人须知</w:t>
      </w:r>
      <w:r>
        <w:rPr>
          <w:rStyle w:val="26"/>
          <w:color w:val="auto"/>
          <w:sz w:val="32"/>
          <w:szCs w:val="32"/>
          <w:highlight w:val="none"/>
        </w:rPr>
        <w:tab/>
      </w:r>
      <w:r>
        <w:rPr>
          <w:rStyle w:val="26"/>
          <w:color w:val="auto"/>
          <w:sz w:val="32"/>
          <w:szCs w:val="32"/>
          <w:highlight w:val="none"/>
        </w:rPr>
        <w:fldChar w:fldCharType="begin"/>
      </w:r>
      <w:r>
        <w:rPr>
          <w:rStyle w:val="26"/>
          <w:color w:val="auto"/>
          <w:sz w:val="32"/>
          <w:szCs w:val="32"/>
          <w:highlight w:val="none"/>
        </w:rPr>
        <w:instrText xml:space="preserve"> PAGEREF _Toc72846749 \h </w:instrText>
      </w:r>
      <w:r>
        <w:rPr>
          <w:rStyle w:val="26"/>
          <w:color w:val="auto"/>
          <w:sz w:val="32"/>
          <w:szCs w:val="32"/>
          <w:highlight w:val="none"/>
        </w:rPr>
        <w:fldChar w:fldCharType="separate"/>
      </w:r>
      <w:r>
        <w:rPr>
          <w:rStyle w:val="26"/>
          <w:color w:val="auto"/>
          <w:sz w:val="32"/>
          <w:szCs w:val="32"/>
          <w:highlight w:val="none"/>
        </w:rPr>
        <w:t>9</w:t>
      </w:r>
      <w:r>
        <w:rPr>
          <w:rStyle w:val="26"/>
          <w:color w:val="auto"/>
          <w:sz w:val="32"/>
          <w:szCs w:val="32"/>
          <w:highlight w:val="none"/>
        </w:rPr>
        <w:fldChar w:fldCharType="end"/>
      </w:r>
      <w:r>
        <w:rPr>
          <w:rStyle w:val="26"/>
          <w:color w:val="auto"/>
          <w:sz w:val="32"/>
          <w:szCs w:val="32"/>
          <w:highlight w:val="none"/>
        </w:rPr>
        <w:fldChar w:fldCharType="end"/>
      </w:r>
    </w:p>
    <w:p w14:paraId="6B7B5B51">
      <w:pPr>
        <w:pStyle w:val="17"/>
        <w:tabs>
          <w:tab w:val="right" w:leader="dot" w:pos="8296"/>
        </w:tabs>
        <w:spacing w:line="360" w:lineRule="auto"/>
        <w:jc w:val="center"/>
        <w:rPr>
          <w:rStyle w:val="26"/>
          <w:rFonts w:hint="default" w:eastAsia="宋体"/>
          <w:color w:val="auto"/>
          <w:sz w:val="32"/>
          <w:szCs w:val="32"/>
          <w:highlight w:val="none"/>
          <w:lang w:val="en-US" w:eastAsia="zh-CN"/>
        </w:rPr>
      </w:pPr>
      <w:r>
        <w:rPr>
          <w:rStyle w:val="26"/>
          <w:color w:val="auto"/>
          <w:sz w:val="32"/>
          <w:szCs w:val="32"/>
          <w:highlight w:val="none"/>
        </w:rPr>
        <w:fldChar w:fldCharType="begin"/>
      </w:r>
      <w:r>
        <w:rPr>
          <w:rStyle w:val="26"/>
          <w:color w:val="auto"/>
          <w:sz w:val="32"/>
          <w:szCs w:val="32"/>
          <w:highlight w:val="none"/>
        </w:rPr>
        <w:instrText xml:space="preserve"> HYPERLINK \l "_Toc72846801" </w:instrText>
      </w:r>
      <w:r>
        <w:rPr>
          <w:rStyle w:val="26"/>
          <w:color w:val="auto"/>
          <w:sz w:val="32"/>
          <w:szCs w:val="32"/>
          <w:highlight w:val="none"/>
        </w:rPr>
        <w:fldChar w:fldCharType="separate"/>
      </w:r>
      <w:r>
        <w:rPr>
          <w:rStyle w:val="26"/>
          <w:rFonts w:hint="eastAsia"/>
          <w:color w:val="auto"/>
          <w:sz w:val="32"/>
          <w:szCs w:val="32"/>
          <w:highlight w:val="none"/>
        </w:rPr>
        <w:t>第三章</w:t>
      </w:r>
      <w:r>
        <w:rPr>
          <w:rStyle w:val="26"/>
          <w:color w:val="auto"/>
          <w:sz w:val="32"/>
          <w:szCs w:val="32"/>
          <w:highlight w:val="none"/>
        </w:rPr>
        <w:t xml:space="preserve">  </w:t>
      </w:r>
      <w:r>
        <w:rPr>
          <w:rStyle w:val="26"/>
          <w:rFonts w:hint="eastAsia"/>
          <w:color w:val="auto"/>
          <w:sz w:val="32"/>
          <w:szCs w:val="32"/>
          <w:highlight w:val="none"/>
        </w:rPr>
        <w:t>评标办法</w:t>
      </w:r>
      <w:r>
        <w:rPr>
          <w:rStyle w:val="26"/>
          <w:color w:val="auto"/>
          <w:sz w:val="32"/>
          <w:szCs w:val="32"/>
          <w:highlight w:val="none"/>
        </w:rPr>
        <w:tab/>
      </w:r>
      <w:r>
        <w:rPr>
          <w:rStyle w:val="26"/>
          <w:color w:val="auto"/>
          <w:sz w:val="32"/>
          <w:szCs w:val="32"/>
          <w:highlight w:val="none"/>
        </w:rPr>
        <w:fldChar w:fldCharType="end"/>
      </w:r>
      <w:r>
        <w:rPr>
          <w:rStyle w:val="26"/>
          <w:rFonts w:hint="eastAsia"/>
          <w:color w:val="auto"/>
          <w:sz w:val="32"/>
          <w:szCs w:val="32"/>
          <w:highlight w:val="none"/>
          <w:lang w:val="en-US" w:eastAsia="zh-CN"/>
        </w:rPr>
        <w:t>29</w:t>
      </w:r>
    </w:p>
    <w:p w14:paraId="5E0E0EBC">
      <w:pPr>
        <w:pStyle w:val="17"/>
        <w:tabs>
          <w:tab w:val="right" w:leader="dot" w:pos="8296"/>
        </w:tabs>
        <w:spacing w:line="360" w:lineRule="auto"/>
        <w:jc w:val="center"/>
        <w:rPr>
          <w:rStyle w:val="26"/>
          <w:color w:val="auto"/>
          <w:sz w:val="32"/>
          <w:szCs w:val="32"/>
          <w:highlight w:val="none"/>
        </w:rPr>
      </w:pPr>
      <w:r>
        <w:rPr>
          <w:rStyle w:val="26"/>
          <w:color w:val="auto"/>
          <w:sz w:val="32"/>
          <w:szCs w:val="32"/>
          <w:highlight w:val="none"/>
        </w:rPr>
        <w:fldChar w:fldCharType="begin"/>
      </w:r>
      <w:r>
        <w:rPr>
          <w:rStyle w:val="26"/>
          <w:color w:val="auto"/>
          <w:sz w:val="32"/>
          <w:szCs w:val="32"/>
          <w:highlight w:val="none"/>
        </w:rPr>
        <w:instrText xml:space="preserve"> HYPERLINK \l "_Toc72846815" </w:instrText>
      </w:r>
      <w:r>
        <w:rPr>
          <w:rStyle w:val="26"/>
          <w:color w:val="auto"/>
          <w:sz w:val="32"/>
          <w:szCs w:val="32"/>
          <w:highlight w:val="none"/>
        </w:rPr>
        <w:fldChar w:fldCharType="separate"/>
      </w:r>
      <w:r>
        <w:rPr>
          <w:rStyle w:val="26"/>
          <w:rFonts w:hint="eastAsia"/>
          <w:color w:val="auto"/>
          <w:sz w:val="32"/>
          <w:szCs w:val="32"/>
          <w:highlight w:val="none"/>
        </w:rPr>
        <w:t>第四章</w:t>
      </w:r>
      <w:r>
        <w:rPr>
          <w:rStyle w:val="26"/>
          <w:color w:val="auto"/>
          <w:sz w:val="32"/>
          <w:szCs w:val="32"/>
          <w:highlight w:val="none"/>
        </w:rPr>
        <w:t xml:space="preserve">  </w:t>
      </w:r>
      <w:r>
        <w:rPr>
          <w:rStyle w:val="26"/>
          <w:rFonts w:hint="eastAsia"/>
          <w:color w:val="auto"/>
          <w:sz w:val="32"/>
          <w:szCs w:val="32"/>
          <w:highlight w:val="none"/>
        </w:rPr>
        <w:t>技术标准和要求</w:t>
      </w:r>
      <w:r>
        <w:rPr>
          <w:rStyle w:val="26"/>
          <w:color w:val="auto"/>
          <w:sz w:val="32"/>
          <w:szCs w:val="32"/>
          <w:highlight w:val="none"/>
        </w:rPr>
        <w:tab/>
      </w:r>
      <w:r>
        <w:rPr>
          <w:rStyle w:val="26"/>
          <w:color w:val="auto"/>
          <w:sz w:val="32"/>
          <w:szCs w:val="32"/>
          <w:highlight w:val="none"/>
        </w:rPr>
        <w:fldChar w:fldCharType="begin"/>
      </w:r>
      <w:r>
        <w:rPr>
          <w:rStyle w:val="26"/>
          <w:color w:val="auto"/>
          <w:sz w:val="32"/>
          <w:szCs w:val="32"/>
          <w:highlight w:val="none"/>
        </w:rPr>
        <w:instrText xml:space="preserve"> PAGEREF _Toc72846815 \h </w:instrText>
      </w:r>
      <w:r>
        <w:rPr>
          <w:rStyle w:val="26"/>
          <w:color w:val="auto"/>
          <w:sz w:val="32"/>
          <w:szCs w:val="32"/>
          <w:highlight w:val="none"/>
        </w:rPr>
        <w:fldChar w:fldCharType="separate"/>
      </w:r>
      <w:r>
        <w:rPr>
          <w:rStyle w:val="26"/>
          <w:color w:val="auto"/>
          <w:sz w:val="32"/>
          <w:szCs w:val="32"/>
          <w:highlight w:val="none"/>
        </w:rPr>
        <w:t>37</w:t>
      </w:r>
      <w:r>
        <w:rPr>
          <w:rStyle w:val="26"/>
          <w:color w:val="auto"/>
          <w:sz w:val="32"/>
          <w:szCs w:val="32"/>
          <w:highlight w:val="none"/>
        </w:rPr>
        <w:fldChar w:fldCharType="end"/>
      </w:r>
      <w:r>
        <w:rPr>
          <w:rStyle w:val="26"/>
          <w:color w:val="auto"/>
          <w:sz w:val="32"/>
          <w:szCs w:val="32"/>
          <w:highlight w:val="none"/>
        </w:rPr>
        <w:fldChar w:fldCharType="end"/>
      </w:r>
    </w:p>
    <w:p w14:paraId="48C580C0">
      <w:pPr>
        <w:pStyle w:val="17"/>
        <w:tabs>
          <w:tab w:val="right" w:leader="dot" w:pos="8296"/>
        </w:tabs>
        <w:spacing w:line="360" w:lineRule="auto"/>
        <w:jc w:val="center"/>
        <w:rPr>
          <w:rStyle w:val="26"/>
          <w:color w:val="auto"/>
          <w:sz w:val="32"/>
          <w:szCs w:val="32"/>
          <w:highlight w:val="none"/>
        </w:rPr>
      </w:pPr>
      <w:r>
        <w:rPr>
          <w:rStyle w:val="26"/>
          <w:color w:val="auto"/>
          <w:sz w:val="32"/>
          <w:szCs w:val="32"/>
          <w:highlight w:val="none"/>
        </w:rPr>
        <w:fldChar w:fldCharType="begin"/>
      </w:r>
      <w:r>
        <w:rPr>
          <w:rStyle w:val="26"/>
          <w:color w:val="auto"/>
          <w:sz w:val="32"/>
          <w:szCs w:val="32"/>
          <w:highlight w:val="none"/>
        </w:rPr>
        <w:instrText xml:space="preserve"> HYPERLINK \l "_Toc72846851" </w:instrText>
      </w:r>
      <w:r>
        <w:rPr>
          <w:rStyle w:val="26"/>
          <w:color w:val="auto"/>
          <w:sz w:val="32"/>
          <w:szCs w:val="32"/>
          <w:highlight w:val="none"/>
        </w:rPr>
        <w:fldChar w:fldCharType="separate"/>
      </w:r>
      <w:r>
        <w:rPr>
          <w:rStyle w:val="26"/>
          <w:rFonts w:hint="eastAsia"/>
          <w:color w:val="auto"/>
          <w:sz w:val="32"/>
          <w:szCs w:val="32"/>
          <w:highlight w:val="none"/>
        </w:rPr>
        <w:t>第五章</w:t>
      </w:r>
      <w:r>
        <w:rPr>
          <w:rStyle w:val="26"/>
          <w:color w:val="auto"/>
          <w:sz w:val="32"/>
          <w:szCs w:val="32"/>
          <w:highlight w:val="none"/>
        </w:rPr>
        <w:t xml:space="preserve">  </w:t>
      </w:r>
      <w:r>
        <w:rPr>
          <w:rStyle w:val="26"/>
          <w:rFonts w:hint="eastAsia"/>
          <w:color w:val="auto"/>
          <w:sz w:val="32"/>
          <w:szCs w:val="32"/>
          <w:highlight w:val="none"/>
        </w:rPr>
        <w:t>投标文件格式</w:t>
      </w:r>
      <w:r>
        <w:rPr>
          <w:rStyle w:val="26"/>
          <w:color w:val="auto"/>
          <w:sz w:val="32"/>
          <w:szCs w:val="32"/>
          <w:highlight w:val="none"/>
        </w:rPr>
        <w:tab/>
      </w:r>
      <w:r>
        <w:rPr>
          <w:rStyle w:val="26"/>
          <w:color w:val="auto"/>
          <w:sz w:val="32"/>
          <w:szCs w:val="32"/>
          <w:highlight w:val="none"/>
        </w:rPr>
        <w:fldChar w:fldCharType="begin"/>
      </w:r>
      <w:r>
        <w:rPr>
          <w:rStyle w:val="26"/>
          <w:color w:val="auto"/>
          <w:sz w:val="32"/>
          <w:szCs w:val="32"/>
          <w:highlight w:val="none"/>
        </w:rPr>
        <w:instrText xml:space="preserve"> PAGEREF _Toc72846851 \h </w:instrText>
      </w:r>
      <w:r>
        <w:rPr>
          <w:rStyle w:val="26"/>
          <w:color w:val="auto"/>
          <w:sz w:val="32"/>
          <w:szCs w:val="32"/>
          <w:highlight w:val="none"/>
        </w:rPr>
        <w:fldChar w:fldCharType="separate"/>
      </w:r>
      <w:r>
        <w:rPr>
          <w:rStyle w:val="26"/>
          <w:color w:val="auto"/>
          <w:sz w:val="32"/>
          <w:szCs w:val="32"/>
          <w:highlight w:val="none"/>
        </w:rPr>
        <w:t>39</w:t>
      </w:r>
      <w:r>
        <w:rPr>
          <w:rStyle w:val="26"/>
          <w:color w:val="auto"/>
          <w:sz w:val="32"/>
          <w:szCs w:val="32"/>
          <w:highlight w:val="none"/>
        </w:rPr>
        <w:fldChar w:fldCharType="end"/>
      </w:r>
      <w:r>
        <w:rPr>
          <w:rStyle w:val="26"/>
          <w:color w:val="auto"/>
          <w:sz w:val="32"/>
          <w:szCs w:val="32"/>
          <w:highlight w:val="none"/>
        </w:rPr>
        <w:fldChar w:fldCharType="end"/>
      </w:r>
    </w:p>
    <w:p w14:paraId="68E483F4">
      <w:pPr>
        <w:pStyle w:val="17"/>
        <w:tabs>
          <w:tab w:val="right" w:leader="dot" w:pos="8296"/>
        </w:tabs>
        <w:spacing w:line="360" w:lineRule="auto"/>
        <w:jc w:val="center"/>
        <w:rPr>
          <w:rStyle w:val="26"/>
          <w:color w:val="auto"/>
          <w:sz w:val="32"/>
          <w:szCs w:val="32"/>
          <w:highlight w:val="none"/>
        </w:rPr>
      </w:pPr>
      <w:r>
        <w:rPr>
          <w:rStyle w:val="26"/>
          <w:color w:val="auto"/>
          <w:sz w:val="32"/>
          <w:szCs w:val="32"/>
          <w:highlight w:val="none"/>
        </w:rPr>
        <w:fldChar w:fldCharType="begin"/>
      </w:r>
      <w:r>
        <w:rPr>
          <w:rStyle w:val="26"/>
          <w:color w:val="auto"/>
          <w:sz w:val="32"/>
          <w:szCs w:val="32"/>
          <w:highlight w:val="none"/>
        </w:rPr>
        <w:instrText xml:space="preserve"> HYPERLINK \l "_Toc72846874" </w:instrText>
      </w:r>
      <w:r>
        <w:rPr>
          <w:rStyle w:val="26"/>
          <w:color w:val="auto"/>
          <w:sz w:val="32"/>
          <w:szCs w:val="32"/>
          <w:highlight w:val="none"/>
        </w:rPr>
        <w:fldChar w:fldCharType="separate"/>
      </w:r>
      <w:r>
        <w:rPr>
          <w:rStyle w:val="26"/>
          <w:rFonts w:hint="eastAsia"/>
          <w:color w:val="auto"/>
          <w:sz w:val="32"/>
          <w:szCs w:val="32"/>
          <w:highlight w:val="none"/>
        </w:rPr>
        <w:t>第六章</w:t>
      </w:r>
      <w:r>
        <w:rPr>
          <w:rStyle w:val="26"/>
          <w:rFonts w:hint="eastAsia"/>
          <w:color w:val="auto"/>
          <w:sz w:val="32"/>
          <w:szCs w:val="32"/>
          <w:highlight w:val="none"/>
          <w:lang w:val="en-US" w:eastAsia="zh-CN"/>
        </w:rPr>
        <w:t xml:space="preserve">  </w:t>
      </w:r>
      <w:r>
        <w:rPr>
          <w:rStyle w:val="26"/>
          <w:rFonts w:hint="eastAsia"/>
          <w:color w:val="auto"/>
          <w:sz w:val="32"/>
          <w:szCs w:val="32"/>
          <w:highlight w:val="none"/>
        </w:rPr>
        <w:t>合同条款</w:t>
      </w:r>
      <w:r>
        <w:rPr>
          <w:rStyle w:val="26"/>
          <w:color w:val="auto"/>
          <w:sz w:val="32"/>
          <w:szCs w:val="32"/>
          <w:highlight w:val="none"/>
        </w:rPr>
        <w:tab/>
      </w:r>
      <w:r>
        <w:rPr>
          <w:rStyle w:val="26"/>
          <w:color w:val="auto"/>
          <w:sz w:val="32"/>
          <w:szCs w:val="32"/>
          <w:highlight w:val="none"/>
        </w:rPr>
        <w:fldChar w:fldCharType="begin"/>
      </w:r>
      <w:r>
        <w:rPr>
          <w:rStyle w:val="26"/>
          <w:color w:val="auto"/>
          <w:sz w:val="32"/>
          <w:szCs w:val="32"/>
          <w:highlight w:val="none"/>
        </w:rPr>
        <w:instrText xml:space="preserve"> PAGEREF _Toc72846874 \h </w:instrText>
      </w:r>
      <w:r>
        <w:rPr>
          <w:rStyle w:val="26"/>
          <w:color w:val="auto"/>
          <w:sz w:val="32"/>
          <w:szCs w:val="32"/>
          <w:highlight w:val="none"/>
        </w:rPr>
        <w:fldChar w:fldCharType="separate"/>
      </w:r>
      <w:r>
        <w:rPr>
          <w:rStyle w:val="26"/>
          <w:color w:val="auto"/>
          <w:sz w:val="32"/>
          <w:szCs w:val="32"/>
          <w:highlight w:val="none"/>
        </w:rPr>
        <w:t>60</w:t>
      </w:r>
      <w:r>
        <w:rPr>
          <w:rStyle w:val="26"/>
          <w:color w:val="auto"/>
          <w:sz w:val="32"/>
          <w:szCs w:val="32"/>
          <w:highlight w:val="none"/>
        </w:rPr>
        <w:fldChar w:fldCharType="end"/>
      </w:r>
      <w:r>
        <w:rPr>
          <w:rStyle w:val="26"/>
          <w:color w:val="auto"/>
          <w:sz w:val="32"/>
          <w:szCs w:val="32"/>
          <w:highlight w:val="none"/>
        </w:rPr>
        <w:fldChar w:fldCharType="end"/>
      </w:r>
    </w:p>
    <w:p w14:paraId="1E44107E">
      <w:pPr>
        <w:pStyle w:val="17"/>
        <w:tabs>
          <w:tab w:val="right" w:leader="dot" w:pos="8296"/>
        </w:tabs>
        <w:spacing w:line="360" w:lineRule="auto"/>
        <w:jc w:val="center"/>
        <w:rPr>
          <w:rFonts w:hint="eastAsia" w:ascii="黑体" w:hAnsi="黑体" w:eastAsia="黑体"/>
          <w:color w:val="auto"/>
          <w:sz w:val="32"/>
          <w:szCs w:val="32"/>
          <w:highlight w:val="none"/>
        </w:rPr>
      </w:pPr>
      <w:r>
        <w:rPr>
          <w:rStyle w:val="26"/>
          <w:rFonts w:ascii="黑体" w:eastAsia="黑体"/>
          <w:color w:val="auto"/>
          <w:sz w:val="32"/>
          <w:szCs w:val="32"/>
          <w:highlight w:val="none"/>
        </w:rPr>
        <w:fldChar w:fldCharType="end"/>
      </w:r>
    </w:p>
    <w:p w14:paraId="5797AC7E">
      <w:pPr>
        <w:jc w:val="center"/>
        <w:rPr>
          <w:rFonts w:hint="eastAsia"/>
          <w:color w:val="auto"/>
          <w:highlight w:val="none"/>
        </w:rPr>
      </w:pPr>
    </w:p>
    <w:p w14:paraId="526F959D">
      <w:pPr>
        <w:pStyle w:val="7"/>
        <w:rPr>
          <w:rFonts w:hint="eastAsia"/>
          <w:color w:val="auto"/>
          <w:highlight w:val="none"/>
        </w:rPr>
      </w:pPr>
    </w:p>
    <w:p w14:paraId="16D82852">
      <w:pPr>
        <w:rPr>
          <w:rFonts w:hint="eastAsia"/>
          <w:color w:val="auto"/>
          <w:highlight w:val="none"/>
        </w:rPr>
      </w:pPr>
    </w:p>
    <w:p w14:paraId="7E7D4484">
      <w:pPr>
        <w:pStyle w:val="7"/>
        <w:rPr>
          <w:rFonts w:hint="eastAsia"/>
          <w:color w:val="auto"/>
          <w:highlight w:val="none"/>
        </w:rPr>
      </w:pPr>
    </w:p>
    <w:p w14:paraId="4E40CA87">
      <w:pPr>
        <w:rPr>
          <w:rFonts w:hint="eastAsia"/>
          <w:color w:val="auto"/>
          <w:highlight w:val="none"/>
        </w:rPr>
      </w:pPr>
    </w:p>
    <w:p w14:paraId="0968D9BD">
      <w:pPr>
        <w:pStyle w:val="7"/>
        <w:rPr>
          <w:rFonts w:hint="eastAsia"/>
          <w:color w:val="auto"/>
          <w:highlight w:val="none"/>
        </w:rPr>
      </w:pPr>
    </w:p>
    <w:p w14:paraId="0CD0BC0B">
      <w:pPr>
        <w:rPr>
          <w:rFonts w:hint="eastAsia"/>
          <w:color w:val="auto"/>
          <w:highlight w:val="none"/>
        </w:rPr>
      </w:pPr>
    </w:p>
    <w:p w14:paraId="52433378">
      <w:pPr>
        <w:rPr>
          <w:rFonts w:hint="eastAsia"/>
          <w:color w:val="auto"/>
          <w:highlight w:val="none"/>
        </w:rPr>
      </w:pPr>
    </w:p>
    <w:p w14:paraId="28D5A00B">
      <w:pPr>
        <w:pStyle w:val="2"/>
        <w:rPr>
          <w:rFonts w:hint="eastAsia"/>
          <w:color w:val="auto"/>
          <w:highlight w:val="none"/>
        </w:rPr>
      </w:pPr>
    </w:p>
    <w:p w14:paraId="219AE0D2">
      <w:pPr>
        <w:rPr>
          <w:rFonts w:hint="eastAsia"/>
          <w:color w:val="auto"/>
          <w:highlight w:val="none"/>
        </w:rPr>
      </w:pPr>
    </w:p>
    <w:p w14:paraId="0A0A4469">
      <w:pPr>
        <w:pStyle w:val="2"/>
        <w:rPr>
          <w:rFonts w:hint="eastAsia"/>
          <w:color w:val="auto"/>
          <w:highlight w:val="none"/>
        </w:rPr>
      </w:pPr>
    </w:p>
    <w:p w14:paraId="4C9BFCAA">
      <w:pPr>
        <w:rPr>
          <w:rFonts w:hint="eastAsia"/>
          <w:highlight w:val="none"/>
        </w:rPr>
      </w:pPr>
    </w:p>
    <w:p w14:paraId="4F25172D">
      <w:pPr>
        <w:snapToGrid w:val="0"/>
        <w:spacing w:line="360" w:lineRule="auto"/>
        <w:jc w:val="center"/>
        <w:outlineLvl w:val="0"/>
        <w:rPr>
          <w:rStyle w:val="28"/>
          <w:rFonts w:hint="eastAsia" w:ascii="宋体" w:cs="宋体"/>
          <w:b/>
          <w:color w:val="auto"/>
          <w:sz w:val="30"/>
          <w:szCs w:val="30"/>
          <w:highlight w:val="none"/>
        </w:rPr>
      </w:pPr>
      <w:bookmarkStart w:id="8" w:name="_Toc10985"/>
    </w:p>
    <w:p w14:paraId="1D624A80">
      <w:pPr>
        <w:snapToGrid w:val="0"/>
        <w:spacing w:line="440" w:lineRule="exact"/>
        <w:jc w:val="center"/>
        <w:outlineLvl w:val="0"/>
        <w:rPr>
          <w:rStyle w:val="28"/>
          <w:rFonts w:hint="eastAsia" w:ascii="宋体" w:cs="宋体"/>
          <w:color w:val="auto"/>
          <w:sz w:val="24"/>
          <w:highlight w:val="none"/>
        </w:rPr>
      </w:pPr>
      <w:r>
        <w:rPr>
          <w:rStyle w:val="28"/>
          <w:rFonts w:hint="eastAsia" w:ascii="宋体" w:cs="宋体"/>
          <w:b/>
          <w:color w:val="auto"/>
          <w:sz w:val="30"/>
          <w:szCs w:val="30"/>
          <w:highlight w:val="none"/>
        </w:rPr>
        <w:t>电子交易须知</w:t>
      </w:r>
      <w:bookmarkEnd w:id="8"/>
    </w:p>
    <w:p w14:paraId="4B35D5D7">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本次招标采用电子投标方式，电子投标平台为“巨化数字化招采平台（juhua.ccccnet.com）”，参考操作顺序如下：</w:t>
      </w:r>
    </w:p>
    <w:p w14:paraId="700E1FB0">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1.在“巨化数字化招采平台”注册，网址：</w:t>
      </w:r>
    </w:p>
    <w:p w14:paraId="42F23DDF">
      <w:pPr>
        <w:pStyle w:val="13"/>
        <w:snapToGrid w:val="0"/>
        <w:spacing w:line="440" w:lineRule="exact"/>
        <w:ind w:firstLine="480" w:firstLineChars="200"/>
        <w:jc w:val="left"/>
        <w:rPr>
          <w:rFonts w:hint="eastAsia"/>
          <w:color w:val="auto"/>
          <w:sz w:val="24"/>
          <w:szCs w:val="24"/>
          <w:highlight w:val="none"/>
        </w:rPr>
      </w:pPr>
      <w:r>
        <w:rPr>
          <w:color w:val="auto"/>
          <w:sz w:val="24"/>
          <w:szCs w:val="24"/>
          <w:highlight w:val="none"/>
        </w:rPr>
        <w:t>https://jhscm.ccccnet.com/user/supplierRegister/</w:t>
      </w:r>
    </w:p>
    <w:p w14:paraId="703BF0F0">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2.CA申请，网址：</w:t>
      </w:r>
    </w:p>
    <w:p w14:paraId="0C4566E1">
      <w:pPr>
        <w:pStyle w:val="13"/>
        <w:snapToGrid w:val="0"/>
        <w:spacing w:line="440" w:lineRule="exact"/>
        <w:ind w:firstLine="480" w:firstLineChars="200"/>
        <w:jc w:val="left"/>
        <w:rPr>
          <w:rFonts w:hint="eastAsia"/>
          <w:color w:val="auto"/>
          <w:sz w:val="24"/>
          <w:szCs w:val="24"/>
          <w:highlight w:val="none"/>
        </w:rPr>
      </w:pPr>
      <w:r>
        <w:rPr>
          <w:color w:val="auto"/>
          <w:sz w:val="24"/>
          <w:szCs w:val="24"/>
          <w:highlight w:val="none"/>
        </w:rPr>
        <w:t>http://www.tseal.cn/tcloud/common.xhtml?projId=81</w:t>
      </w:r>
    </w:p>
    <w:p w14:paraId="22C79611">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CA数字证书申请后须邮寄实体介质，应尽早申请，否则因CA邮寄时间导致延误投标的责任由投标人自行承担。</w:t>
      </w:r>
    </w:p>
    <w:p w14:paraId="66F9DF45">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3.报名：</w:t>
      </w:r>
    </w:p>
    <w:p w14:paraId="0F6C23BE">
      <w:pPr>
        <w:pStyle w:val="13"/>
        <w:snapToGrid w:val="0"/>
        <w:spacing w:line="440" w:lineRule="exact"/>
        <w:ind w:firstLine="480" w:firstLineChars="200"/>
        <w:jc w:val="left"/>
        <w:rPr>
          <w:rFonts w:hint="eastAsia" w:eastAsia="宋体"/>
          <w:color w:val="auto"/>
          <w:sz w:val="24"/>
          <w:szCs w:val="24"/>
          <w:highlight w:val="none"/>
          <w:lang w:val="en-US" w:eastAsia="zh-CN"/>
        </w:rPr>
      </w:pPr>
      <w:r>
        <w:rPr>
          <w:rFonts w:hint="eastAsia"/>
          <w:color w:val="auto"/>
          <w:sz w:val="24"/>
          <w:szCs w:val="24"/>
          <w:highlight w:val="none"/>
        </w:rPr>
        <w:t>登录“巨化数字化招采平台”→“供应商门户”→“招标公告”→“查看”本项目招标公告→“公开报名”→“报名”</w:t>
      </w:r>
      <w:r>
        <w:rPr>
          <w:rFonts w:hint="eastAsia"/>
          <w:color w:val="auto"/>
          <w:sz w:val="24"/>
          <w:szCs w:val="24"/>
          <w:highlight w:val="none"/>
          <w:lang w:eastAsia="zh-CN"/>
        </w:rPr>
        <w:t>，并联系招标代理缴纳资料费。</w:t>
      </w:r>
    </w:p>
    <w:p w14:paraId="061BF195">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4.编制投标文件：</w:t>
      </w:r>
    </w:p>
    <w:p w14:paraId="1D5B2970">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根据本招标文件“第二章</w:t>
      </w:r>
      <w:r>
        <w:rPr>
          <w:color w:val="auto"/>
          <w:sz w:val="24"/>
          <w:szCs w:val="24"/>
          <w:highlight w:val="none"/>
        </w:rPr>
        <w:t xml:space="preserve">  </w:t>
      </w:r>
      <w:r>
        <w:rPr>
          <w:rFonts w:hint="eastAsia"/>
          <w:color w:val="auto"/>
          <w:sz w:val="24"/>
          <w:szCs w:val="24"/>
          <w:highlight w:val="none"/>
        </w:rPr>
        <w:t>投标人须知” “三、投标文件的编制”“（一）投标文件的组成”的要求编制“技术资信标书”和“商务经济标书”电子版。</w:t>
      </w:r>
    </w:p>
    <w:p w14:paraId="0BDA21DF">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5.投标：</w:t>
      </w:r>
    </w:p>
    <w:p w14:paraId="2CDAA2DA">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39663935">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6.注册、投标等相关操作方法详见“电子投标供应商操作手册”，获取方式：巨化数字化招采平台首页-供应商操作手册（招标），获取网址：</w:t>
      </w:r>
    </w:p>
    <w:p w14:paraId="15E90006">
      <w:pPr>
        <w:pStyle w:val="13"/>
        <w:snapToGrid w:val="0"/>
        <w:spacing w:line="440" w:lineRule="exact"/>
        <w:ind w:firstLine="480" w:firstLineChars="200"/>
        <w:jc w:val="left"/>
        <w:rPr>
          <w:rFonts w:hint="eastAsia"/>
          <w:color w:val="auto"/>
          <w:sz w:val="24"/>
          <w:szCs w:val="24"/>
          <w:highlight w:val="none"/>
        </w:rPr>
      </w:pPr>
      <w:r>
        <w:rPr>
          <w:color w:val="auto"/>
          <w:sz w:val="24"/>
          <w:szCs w:val="24"/>
          <w:highlight w:val="none"/>
        </w:rPr>
        <w:t>https://juhua.ccccnet.com/#/detail3/cdef968b-fd19-4ffa-9edd-0d9699c46185</w:t>
      </w:r>
    </w:p>
    <w:p w14:paraId="0D972370">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7.投标人在参加电子交易过程中，有CA或平台问题的，请联系：</w:t>
      </w:r>
    </w:p>
    <w:p w14:paraId="6C9D0BDE">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巨化招采平台供应商线上支持QQ群：256350034（首选）</w:t>
      </w:r>
    </w:p>
    <w:p w14:paraId="6486FBED">
      <w:pPr>
        <w:pStyle w:val="13"/>
        <w:snapToGrid w:val="0"/>
        <w:spacing w:line="440" w:lineRule="exact"/>
        <w:ind w:firstLine="480" w:firstLineChars="200"/>
        <w:jc w:val="left"/>
        <w:rPr>
          <w:rFonts w:hint="eastAsia"/>
          <w:color w:val="auto"/>
          <w:sz w:val="24"/>
          <w:szCs w:val="24"/>
          <w:highlight w:val="none"/>
        </w:rPr>
      </w:pPr>
      <w:r>
        <w:rPr>
          <w:rFonts w:hint="eastAsia"/>
          <w:color w:val="auto"/>
          <w:sz w:val="24"/>
          <w:szCs w:val="24"/>
          <w:highlight w:val="none"/>
        </w:rPr>
        <w:t>联系电话：0570-3615336</w:t>
      </w:r>
    </w:p>
    <w:p w14:paraId="68316FDC">
      <w:pPr>
        <w:pStyle w:val="13"/>
        <w:snapToGrid w:val="0"/>
        <w:spacing w:line="440" w:lineRule="exact"/>
        <w:ind w:firstLine="480" w:firstLineChars="200"/>
        <w:jc w:val="left"/>
        <w:rPr>
          <w:rFonts w:hint="eastAsia"/>
          <w:color w:val="auto"/>
          <w:highlight w:val="none"/>
        </w:rPr>
      </w:pPr>
      <w:r>
        <w:rPr>
          <w:rFonts w:hint="eastAsia"/>
          <w:color w:val="auto"/>
          <w:sz w:val="24"/>
          <w:szCs w:val="24"/>
          <w:highlight w:val="none"/>
        </w:rPr>
        <w:t>8.不论中标与否均需邮寄或发送《退还投标保证金申请书》后方可退还投标保证金，建议尽早邮寄或发送，以免耽误投标保证金的退还。</w:t>
      </w:r>
    </w:p>
    <w:p w14:paraId="147D8FCA">
      <w:pPr>
        <w:pStyle w:val="7"/>
        <w:rPr>
          <w:rFonts w:hint="eastAsia"/>
          <w:color w:val="auto"/>
          <w:highlight w:val="none"/>
        </w:rPr>
        <w:sectPr>
          <w:footerReference r:id="rId6" w:type="first"/>
          <w:headerReference r:id="rId3" w:type="default"/>
          <w:footerReference r:id="rId4" w:type="default"/>
          <w:footerReference r:id="rId5" w:type="even"/>
          <w:pgSz w:w="11906" w:h="16838"/>
          <w:pgMar w:top="1440" w:right="1080" w:bottom="1440" w:left="1080" w:header="851" w:footer="1417" w:gutter="0"/>
          <w:pgBorders>
            <w:top w:val="none" w:sz="0" w:space="0"/>
            <w:left w:val="none" w:sz="0" w:space="0"/>
            <w:bottom w:val="none" w:sz="0" w:space="0"/>
            <w:right w:val="none" w:sz="0" w:space="0"/>
          </w:pgBorders>
          <w:pgNumType w:fmt="decimal" w:start="1"/>
          <w:cols w:space="720" w:num="1"/>
          <w:titlePg/>
          <w:rtlGutter w:val="0"/>
          <w:docGrid w:type="lines" w:linePitch="312" w:charSpace="0"/>
        </w:sectPr>
      </w:pPr>
    </w:p>
    <w:p w14:paraId="3C1C806B">
      <w:pPr>
        <w:pStyle w:val="4"/>
        <w:spacing w:line="360" w:lineRule="auto"/>
        <w:rPr>
          <w:rFonts w:hint="eastAsia" w:asciiTheme="majorEastAsia" w:hAnsiTheme="majorEastAsia" w:eastAsiaTheme="majorEastAsia" w:cstheme="majorEastAsia"/>
          <w:b w:val="0"/>
          <w:color w:val="auto"/>
          <w:sz w:val="44"/>
          <w:szCs w:val="44"/>
          <w:highlight w:val="none"/>
        </w:rPr>
      </w:pPr>
      <w:bookmarkStart w:id="9" w:name="_Toc72846748"/>
      <w:r>
        <w:rPr>
          <w:rFonts w:hint="eastAsia" w:asciiTheme="majorEastAsia" w:hAnsiTheme="majorEastAsia" w:eastAsiaTheme="majorEastAsia" w:cstheme="majorEastAsia"/>
          <w:b w:val="0"/>
          <w:color w:val="auto"/>
          <w:spacing w:val="5"/>
          <w:kern w:val="0"/>
          <w:sz w:val="44"/>
          <w:szCs w:val="44"/>
          <w:highlight w:val="none"/>
          <w:fitText w:val="3600" w:id="920014273"/>
        </w:rPr>
        <w:t>第一章  招标公</w:t>
      </w:r>
      <w:r>
        <w:rPr>
          <w:rFonts w:hint="eastAsia" w:asciiTheme="majorEastAsia" w:hAnsiTheme="majorEastAsia" w:eastAsiaTheme="majorEastAsia" w:cstheme="majorEastAsia"/>
          <w:b w:val="0"/>
          <w:color w:val="auto"/>
          <w:spacing w:val="0"/>
          <w:kern w:val="0"/>
          <w:sz w:val="44"/>
          <w:szCs w:val="44"/>
          <w:highlight w:val="none"/>
          <w:fitText w:val="3600" w:id="920014273"/>
        </w:rPr>
        <w:t>告</w:t>
      </w:r>
      <w:bookmarkEnd w:id="9"/>
    </w:p>
    <w:p w14:paraId="39A1D70C">
      <w:pPr>
        <w:widowControl/>
        <w:snapToGrid w:val="0"/>
        <w:spacing w:line="360" w:lineRule="auto"/>
        <w:ind w:firstLine="424" w:firstLineChars="177"/>
        <w:textAlignment w:val="baseline"/>
        <w:rPr>
          <w:rFonts w:hint="eastAsia" w:ascii="宋体" w:hAnsi="宋体"/>
          <w:color w:val="auto"/>
          <w:sz w:val="24"/>
          <w:szCs w:val="24"/>
          <w:highlight w:val="none"/>
        </w:rPr>
      </w:pPr>
      <w:r>
        <w:rPr>
          <w:rFonts w:hint="eastAsia"/>
          <w:color w:val="auto"/>
          <w:sz w:val="24"/>
          <w:szCs w:val="24"/>
          <w:highlight w:val="none"/>
          <w:u w:val="single"/>
          <w:lang w:eastAsia="zh-CN"/>
        </w:rPr>
        <w:t>浙江巨化化工矿业有限公司后塘弄尾矿库闭库及恢复林业生产条件和森林覆盖项目）</w:t>
      </w:r>
      <w:r>
        <w:rPr>
          <w:rFonts w:hint="eastAsia" w:ascii="宋体" w:hAnsi="宋体"/>
          <w:color w:val="auto"/>
          <w:sz w:val="24"/>
          <w:szCs w:val="24"/>
          <w:highlight w:val="none"/>
        </w:rPr>
        <w:t>已经由有关部门批准建设，招标人为</w:t>
      </w:r>
      <w:r>
        <w:rPr>
          <w:rFonts w:hint="eastAsia"/>
          <w:color w:val="auto"/>
          <w:sz w:val="24"/>
          <w:szCs w:val="24"/>
          <w:highlight w:val="none"/>
          <w:u w:val="single"/>
          <w:lang w:eastAsia="zh-CN"/>
        </w:rPr>
        <w:t>浙江巨化化工矿业有限公司</w:t>
      </w:r>
      <w:r>
        <w:rPr>
          <w:rFonts w:hint="eastAsia" w:ascii="宋体" w:hAnsi="宋体"/>
          <w:color w:val="auto"/>
          <w:sz w:val="24"/>
          <w:szCs w:val="24"/>
          <w:highlight w:val="none"/>
        </w:rPr>
        <w:t>，项目资金为</w:t>
      </w:r>
      <w:r>
        <w:rPr>
          <w:rFonts w:hint="eastAsia" w:ascii="宋体" w:hAnsi="宋体"/>
          <w:color w:val="auto"/>
          <w:sz w:val="24"/>
          <w:szCs w:val="24"/>
          <w:highlight w:val="none"/>
          <w:u w:val="single"/>
          <w:lang w:val="en-US" w:eastAsia="zh-CN"/>
        </w:rPr>
        <w:t>企业自筹（已落实）</w:t>
      </w:r>
      <w:r>
        <w:rPr>
          <w:rFonts w:hint="eastAsia" w:ascii="宋体" w:hAnsi="宋体"/>
          <w:color w:val="auto"/>
          <w:sz w:val="24"/>
          <w:szCs w:val="24"/>
          <w:highlight w:val="none"/>
        </w:rPr>
        <w:t>。现</w:t>
      </w:r>
      <w:r>
        <w:rPr>
          <w:rFonts w:hint="eastAsia"/>
          <w:color w:val="auto"/>
          <w:sz w:val="24"/>
          <w:szCs w:val="24"/>
          <w:highlight w:val="none"/>
          <w:u w:val="single"/>
          <w:lang w:val="zh-CN"/>
        </w:rPr>
        <w:t>浙江南方工程咨询管理有限公司</w:t>
      </w:r>
      <w:r>
        <w:rPr>
          <w:rFonts w:hint="eastAsia" w:ascii="宋体" w:hAnsi="宋体"/>
          <w:color w:val="auto"/>
          <w:sz w:val="24"/>
          <w:szCs w:val="24"/>
          <w:highlight w:val="none"/>
        </w:rPr>
        <w:t>受招标人的委托对该项目组织进行国内公开招标，欢迎所有有意向的单位参加本次项目的投标。资格审查采用资格后审的形式，潜在投标人应在</w:t>
      </w:r>
      <w:r>
        <w:rPr>
          <w:rFonts w:hint="eastAsia" w:ascii="宋体" w:hAnsi="宋体"/>
          <w:color w:val="auto"/>
          <w:sz w:val="24"/>
          <w:szCs w:val="24"/>
          <w:highlight w:val="none"/>
          <w:u w:val="single"/>
        </w:rPr>
        <w:t>化工云商网（巨化数字化招采平台）https://juhua.ccccnet.com/</w:t>
      </w:r>
      <w:r>
        <w:rPr>
          <w:rFonts w:hint="eastAsia" w:ascii="宋体" w:hAnsi="宋体"/>
          <w:color w:val="auto"/>
          <w:sz w:val="24"/>
          <w:szCs w:val="24"/>
          <w:highlight w:val="none"/>
        </w:rPr>
        <w:t>获取（下载）招标文件，并于</w:t>
      </w:r>
      <w:r>
        <w:rPr>
          <w:rFonts w:hint="eastAsia" w:ascii="宋体" w:hAnsi="宋体"/>
          <w:color w:val="auto"/>
          <w:sz w:val="24"/>
          <w:szCs w:val="24"/>
          <w:highlight w:val="none"/>
          <w:u w:val="single"/>
          <w:lang w:val="en-US" w:eastAsia="zh-CN"/>
        </w:rPr>
        <w:t>2025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16</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09</w:t>
      </w:r>
      <w:r>
        <w:rPr>
          <w:rFonts w:hint="eastAsia" w:ascii="宋体" w:hAnsi="宋体"/>
          <w:color w:val="auto"/>
          <w:sz w:val="24"/>
          <w:szCs w:val="24"/>
          <w:highlight w:val="none"/>
          <w:u w:val="single"/>
        </w:rPr>
        <w:t>时</w:t>
      </w:r>
      <w:r>
        <w:rPr>
          <w:rFonts w:hint="eastAsia" w:ascii="宋体" w:hAnsi="宋体"/>
          <w:color w:val="auto"/>
          <w:sz w:val="24"/>
          <w:szCs w:val="24"/>
          <w:highlight w:val="none"/>
          <w:u w:val="single"/>
          <w:lang w:val="en-US" w:eastAsia="zh-CN"/>
        </w:rPr>
        <w:t>00</w:t>
      </w:r>
      <w:r>
        <w:rPr>
          <w:rFonts w:hint="eastAsia" w:ascii="宋体" w:hAnsi="宋体"/>
          <w:color w:val="auto"/>
          <w:sz w:val="24"/>
          <w:szCs w:val="24"/>
          <w:highlight w:val="none"/>
          <w:u w:val="single"/>
        </w:rPr>
        <w:t>分</w:t>
      </w:r>
      <w:r>
        <w:rPr>
          <w:rFonts w:hint="eastAsia" w:ascii="宋体" w:hAnsi="宋体"/>
          <w:bCs/>
          <w:color w:val="auto"/>
          <w:sz w:val="24"/>
          <w:szCs w:val="24"/>
          <w:highlight w:val="none"/>
          <w:u w:val="single"/>
        </w:rPr>
        <w:t>（北京时间）</w:t>
      </w:r>
      <w:r>
        <w:rPr>
          <w:rFonts w:hint="eastAsia" w:ascii="宋体" w:hAnsi="宋体"/>
          <w:bCs/>
          <w:color w:val="auto"/>
          <w:sz w:val="24"/>
          <w:szCs w:val="24"/>
          <w:highlight w:val="none"/>
        </w:rPr>
        <w:t>前递交（上传）投标</w:t>
      </w:r>
      <w:r>
        <w:rPr>
          <w:rFonts w:ascii="宋体" w:hAnsi="宋体"/>
          <w:bCs/>
          <w:color w:val="auto"/>
          <w:sz w:val="24"/>
          <w:szCs w:val="24"/>
          <w:highlight w:val="none"/>
        </w:rPr>
        <w:t>文件</w:t>
      </w:r>
      <w:r>
        <w:rPr>
          <w:rFonts w:hint="eastAsia" w:ascii="宋体" w:hAnsi="宋体"/>
          <w:color w:val="auto"/>
          <w:sz w:val="24"/>
          <w:szCs w:val="24"/>
          <w:highlight w:val="none"/>
        </w:rPr>
        <w:t>。</w:t>
      </w:r>
    </w:p>
    <w:p w14:paraId="6C09E1E9">
      <w:pPr>
        <w:numPr>
          <w:ilvl w:val="0"/>
          <w:numId w:val="0"/>
        </w:numPr>
        <w:snapToGrid w:val="0"/>
        <w:spacing w:line="440" w:lineRule="exact"/>
        <w:ind w:left="0" w:leftChars="0" w:firstLine="480" w:firstLineChars="200"/>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kern w:val="2"/>
          <w:sz w:val="24"/>
          <w:szCs w:val="24"/>
          <w:highlight w:val="none"/>
          <w:lang w:val="en-US" w:eastAsia="zh-CN" w:bidi="ar-SA"/>
        </w:rPr>
        <w:t>一、</w:t>
      </w:r>
      <w:r>
        <w:rPr>
          <w:rFonts w:hint="eastAsia" w:ascii="宋体" w:hAnsi="宋体"/>
          <w:b/>
          <w:bCs/>
          <w:color w:val="auto"/>
          <w:sz w:val="24"/>
          <w:szCs w:val="24"/>
          <w:highlight w:val="none"/>
        </w:rPr>
        <w:t>项目名称:</w:t>
      </w:r>
      <w:r>
        <w:rPr>
          <w:rFonts w:hint="eastAsia" w:ascii="宋体" w:hAnsi="宋体"/>
          <w:color w:val="auto"/>
          <w:sz w:val="24"/>
          <w:szCs w:val="24"/>
          <w:highlight w:val="none"/>
        </w:rPr>
        <w:t xml:space="preserve"> </w:t>
      </w:r>
      <w:r>
        <w:rPr>
          <w:rFonts w:hint="eastAsia" w:ascii="宋体" w:hAnsi="宋体" w:cs="Times New Roman"/>
          <w:color w:val="auto"/>
          <w:sz w:val="24"/>
          <w:szCs w:val="24"/>
          <w:highlight w:val="none"/>
          <w:lang w:val="en-US" w:eastAsia="zh-CN"/>
        </w:rPr>
        <w:t>浙江巨化化工矿业有限公司后塘弄尾矿库闭库及恢复林业生产条件和森林覆盖项目</w:t>
      </w:r>
      <w:r>
        <w:rPr>
          <w:rFonts w:hint="eastAsia" w:ascii="宋体" w:hAnsi="宋体" w:eastAsia="宋体" w:cs="Times New Roman"/>
          <w:color w:val="auto"/>
          <w:sz w:val="24"/>
          <w:szCs w:val="24"/>
          <w:highlight w:val="none"/>
          <w:lang w:val="en-US" w:eastAsia="zh-CN"/>
        </w:rPr>
        <w:t>）。</w:t>
      </w:r>
    </w:p>
    <w:p w14:paraId="11F19336">
      <w:pPr>
        <w:numPr>
          <w:ilvl w:val="0"/>
          <w:numId w:val="0"/>
        </w:numPr>
        <w:snapToGrid w:val="0"/>
        <w:spacing w:line="440" w:lineRule="exact"/>
        <w:ind w:left="0" w:leftChars="0" w:firstLine="480" w:firstLineChars="200"/>
        <w:rPr>
          <w:rFonts w:hint="eastAsia" w:ascii="宋体" w:hAnsi="宋体"/>
          <w:color w:val="auto"/>
          <w:sz w:val="24"/>
          <w:szCs w:val="24"/>
          <w:highlight w:val="none"/>
        </w:rPr>
      </w:pPr>
      <w:r>
        <w:rPr>
          <w:rFonts w:hint="eastAsia" w:ascii="宋体" w:hAnsi="宋体"/>
          <w:color w:val="auto"/>
          <w:kern w:val="2"/>
          <w:sz w:val="24"/>
          <w:szCs w:val="24"/>
          <w:highlight w:val="none"/>
          <w:lang w:val="en-US" w:eastAsia="zh-CN" w:bidi="ar-SA"/>
        </w:rPr>
        <w:t>二、</w:t>
      </w:r>
      <w:r>
        <w:rPr>
          <w:rFonts w:hint="eastAsia" w:ascii="宋体" w:hAnsi="宋体" w:cs="宋体"/>
          <w:b/>
          <w:bCs/>
          <w:color w:val="auto"/>
          <w:sz w:val="24"/>
          <w:szCs w:val="24"/>
          <w:highlight w:val="none"/>
        </w:rPr>
        <w:t>招标条件</w:t>
      </w:r>
      <w:r>
        <w:rPr>
          <w:rFonts w:hint="eastAsia" w:ascii="宋体" w:hAnsi="宋体" w:cs="宋体"/>
          <w:color w:val="auto"/>
          <w:sz w:val="24"/>
          <w:szCs w:val="24"/>
          <w:highlight w:val="none"/>
        </w:rPr>
        <w:t>：浙江巨化化工矿业有限公司后塘弄尾矿库闭库及恢复林业生产条件和森林覆盖项目已由项目审批/核准/备案机关批准，项目赋码：2411-330825-04-01-190072。资金来源政府补贴和企业自筹资金，已落实。特邀请有能力的投标人参加本次尾矿库闭库及恢复林业生产条件和森林覆盖项目投标。</w:t>
      </w:r>
    </w:p>
    <w:p w14:paraId="36434E72">
      <w:pPr>
        <w:snapToGrid w:val="0"/>
        <w:spacing w:line="440" w:lineRule="exact"/>
        <w:ind w:left="420"/>
        <w:rPr>
          <w:rFonts w:hint="eastAsia" w:ascii="宋体" w:hAnsi="宋体"/>
          <w:color w:val="auto"/>
          <w:sz w:val="24"/>
          <w:szCs w:val="24"/>
          <w:highlight w:val="none"/>
        </w:rPr>
      </w:pPr>
      <w:r>
        <w:rPr>
          <w:rFonts w:hint="eastAsia" w:ascii="宋体" w:hAnsi="宋体" w:cs="宋体"/>
          <w:b/>
          <w:bCs/>
          <w:color w:val="auto"/>
          <w:sz w:val="24"/>
          <w:szCs w:val="24"/>
          <w:highlight w:val="none"/>
        </w:rPr>
        <w:t xml:space="preserve">三、建设地点: </w:t>
      </w:r>
      <w:r>
        <w:rPr>
          <w:rFonts w:hint="eastAsia" w:ascii="宋体" w:hAnsi="宋体"/>
          <w:color w:val="auto"/>
          <w:sz w:val="24"/>
          <w:szCs w:val="24"/>
          <w:highlight w:val="none"/>
          <w:lang w:val="zh-CN"/>
        </w:rPr>
        <w:t>龙游县溪口镇灵山村后塘弄</w:t>
      </w:r>
    </w:p>
    <w:p w14:paraId="2540B582">
      <w:pPr>
        <w:snapToGrid w:val="0"/>
        <w:spacing w:line="440" w:lineRule="exact"/>
        <w:ind w:left="42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四、工作范围:</w:t>
      </w:r>
    </w:p>
    <w:p w14:paraId="7CECBA88">
      <w:pPr>
        <w:snapToGrid w:val="0"/>
        <w:spacing w:line="440" w:lineRule="exact"/>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对初期坝进行压坡加固和增设水平排渗孔，调整堆积坝高度和外坡比；开展滩面整治，包括开挖回填、监测评估、覆土绿化及合理安排排水工程施工顺序；封堵原排洪系统并设置地表永久排水沟、修复库周截水沟；进行周边环境治理与维护，包括修复地形地貌、植被恢复、铺设防渗膜覆土绿化、设置安全护栏和维护坡面；完善辅助设施，包含道路利用等，涉及从施工</w:t>
      </w:r>
      <w:r>
        <w:rPr>
          <w:rFonts w:hint="eastAsia" w:ascii="宋体" w:hAnsi="宋体"/>
          <w:color w:val="auto"/>
          <w:sz w:val="24"/>
          <w:szCs w:val="24"/>
          <w:highlight w:val="none"/>
          <w:lang w:val="en-US" w:eastAsia="zh-CN"/>
        </w:rPr>
        <w:t>到</w:t>
      </w:r>
      <w:r>
        <w:rPr>
          <w:rFonts w:hint="eastAsia" w:ascii="宋体" w:hAnsi="宋体"/>
          <w:color w:val="auto"/>
          <w:sz w:val="24"/>
          <w:szCs w:val="24"/>
          <w:highlight w:val="none"/>
        </w:rPr>
        <w:t>备采购安装调试及验收的全过程工作。</w:t>
      </w:r>
    </w:p>
    <w:p w14:paraId="78D13620">
      <w:pPr>
        <w:snapToGrid w:val="0"/>
        <w:spacing w:line="440" w:lineRule="exact"/>
        <w:ind w:left="420"/>
        <w:rPr>
          <w:rFonts w:hint="eastAsia" w:ascii="宋体" w:hAnsi="宋体"/>
          <w:color w:val="auto"/>
          <w:sz w:val="24"/>
          <w:szCs w:val="24"/>
          <w:highlight w:val="none"/>
        </w:rPr>
      </w:pPr>
      <w:r>
        <w:rPr>
          <w:rFonts w:hint="eastAsia" w:ascii="宋体" w:hAnsi="宋体" w:cs="宋体"/>
          <w:b/>
          <w:bCs/>
          <w:color w:val="auto"/>
          <w:sz w:val="24"/>
          <w:szCs w:val="24"/>
          <w:highlight w:val="none"/>
        </w:rPr>
        <w:t>五、承包方式:</w:t>
      </w:r>
      <w:r>
        <w:rPr>
          <w:rFonts w:hint="eastAsia" w:ascii="宋体" w:hAnsi="宋体" w:eastAsia="宋体" w:cs="Times New Roman"/>
          <w:color w:val="auto"/>
          <w:sz w:val="24"/>
          <w:szCs w:val="24"/>
          <w:highlight w:val="none"/>
          <w:lang w:val="en-US" w:eastAsia="zh-CN"/>
        </w:rPr>
        <w:t>矿山工程</w:t>
      </w:r>
      <w:r>
        <w:rPr>
          <w:rFonts w:hint="eastAsia" w:ascii="宋体" w:hAnsi="宋体"/>
          <w:color w:val="auto"/>
          <w:sz w:val="24"/>
          <w:szCs w:val="24"/>
          <w:highlight w:val="none"/>
        </w:rPr>
        <w:t>施工总承包，</w:t>
      </w:r>
      <w:r>
        <w:rPr>
          <w:rFonts w:hint="eastAsia" w:ascii="宋体" w:hAnsi="宋体"/>
          <w:color w:val="auto"/>
          <w:sz w:val="24"/>
          <w:szCs w:val="24"/>
          <w:highlight w:val="none"/>
          <w:lang w:val="en-US" w:eastAsia="zh-CN"/>
        </w:rPr>
        <w:t>中标单位</w:t>
      </w:r>
      <w:r>
        <w:rPr>
          <w:rFonts w:hint="eastAsia" w:ascii="宋体" w:hAnsi="宋体"/>
          <w:color w:val="auto"/>
          <w:sz w:val="24"/>
          <w:szCs w:val="24"/>
          <w:highlight w:val="none"/>
        </w:rPr>
        <w:t>包工包料包</w:t>
      </w:r>
      <w:r>
        <w:rPr>
          <w:rFonts w:hint="eastAsia" w:ascii="宋体" w:hAnsi="宋体"/>
          <w:color w:val="auto"/>
          <w:sz w:val="24"/>
          <w:szCs w:val="24"/>
          <w:highlight w:val="none"/>
          <w:lang w:val="en-US" w:eastAsia="zh-CN"/>
        </w:rPr>
        <w:t>施工</w:t>
      </w:r>
      <w:r>
        <w:rPr>
          <w:rFonts w:hint="eastAsia" w:ascii="宋体" w:hAnsi="宋体"/>
          <w:color w:val="auto"/>
          <w:sz w:val="24"/>
          <w:szCs w:val="24"/>
          <w:highlight w:val="none"/>
        </w:rPr>
        <w:t>设备。</w:t>
      </w:r>
    </w:p>
    <w:p w14:paraId="4C0F9A4D">
      <w:pPr>
        <w:snapToGrid w:val="0"/>
        <w:spacing w:line="44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val="en-US" w:eastAsia="zh-CN"/>
        </w:rPr>
        <w:t>中标单位</w:t>
      </w:r>
      <w:r>
        <w:rPr>
          <w:rFonts w:hint="eastAsia" w:ascii="宋体" w:hAnsi="宋体"/>
          <w:color w:val="auto"/>
          <w:sz w:val="24"/>
          <w:szCs w:val="24"/>
          <w:highlight w:val="none"/>
        </w:rPr>
        <w:t>承担</w:t>
      </w:r>
      <w:r>
        <w:rPr>
          <w:rFonts w:hint="eastAsia" w:ascii="宋体" w:hAnsi="宋体"/>
          <w:color w:val="auto"/>
          <w:sz w:val="24"/>
          <w:szCs w:val="24"/>
          <w:highlight w:val="none"/>
          <w:lang w:val="en-US" w:eastAsia="zh-CN"/>
        </w:rPr>
        <w:t>尾矿库闭库</w:t>
      </w:r>
      <w:r>
        <w:rPr>
          <w:rFonts w:hint="eastAsia" w:ascii="宋体" w:hAnsi="宋体"/>
          <w:color w:val="auto"/>
          <w:sz w:val="24"/>
          <w:szCs w:val="24"/>
          <w:highlight w:val="none"/>
        </w:rPr>
        <w:t>工程的支护的立、拆模、浇捣、喷砼拌料、下放、喷射</w:t>
      </w:r>
      <w:r>
        <w:rPr>
          <w:rFonts w:hint="eastAsia" w:ascii="宋体" w:hAnsi="宋体"/>
          <w:color w:val="auto"/>
          <w:sz w:val="24"/>
          <w:szCs w:val="24"/>
          <w:highlight w:val="none"/>
          <w:lang w:val="en-US" w:eastAsia="zh-CN"/>
        </w:rPr>
        <w:t>混凝土</w:t>
      </w:r>
      <w:r>
        <w:rPr>
          <w:rFonts w:hint="eastAsia" w:ascii="宋体" w:hAnsi="宋体"/>
          <w:color w:val="auto"/>
          <w:sz w:val="24"/>
          <w:szCs w:val="24"/>
          <w:highlight w:val="none"/>
        </w:rPr>
        <w:t>等</w:t>
      </w:r>
      <w:r>
        <w:rPr>
          <w:rFonts w:hint="eastAsia" w:ascii="宋体" w:hAnsi="宋体"/>
          <w:color w:val="auto"/>
          <w:sz w:val="24"/>
          <w:szCs w:val="24"/>
          <w:highlight w:val="none"/>
          <w:lang w:val="en-US" w:eastAsia="zh-CN"/>
        </w:rPr>
        <w:t>施工</w:t>
      </w:r>
      <w:r>
        <w:rPr>
          <w:rFonts w:hint="eastAsia" w:ascii="宋体" w:hAnsi="宋体"/>
          <w:color w:val="auto"/>
          <w:sz w:val="24"/>
          <w:szCs w:val="24"/>
          <w:highlight w:val="none"/>
        </w:rPr>
        <w:t>作业。</w:t>
      </w:r>
    </w:p>
    <w:p w14:paraId="49B88423">
      <w:pPr>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rPr>
          <w:rFonts w:hint="eastAsia" w:ascii="宋体" w:hAnsi="宋体"/>
          <w:color w:val="auto"/>
          <w:sz w:val="24"/>
          <w:szCs w:val="24"/>
          <w:highlight w:val="none"/>
        </w:rPr>
      </w:pPr>
      <w:r>
        <w:rPr>
          <w:rFonts w:hint="eastAsia" w:ascii="宋体" w:hAnsi="宋体"/>
          <w:color w:val="auto"/>
          <w:sz w:val="24"/>
          <w:szCs w:val="24"/>
          <w:highlight w:val="none"/>
        </w:rPr>
        <w:t>2、施工设备由</w:t>
      </w:r>
      <w:r>
        <w:rPr>
          <w:rFonts w:hint="eastAsia" w:ascii="宋体" w:hAnsi="宋体"/>
          <w:color w:val="auto"/>
          <w:sz w:val="24"/>
          <w:szCs w:val="24"/>
          <w:highlight w:val="none"/>
          <w:lang w:val="en-US" w:eastAsia="zh-CN"/>
        </w:rPr>
        <w:t>中标单位</w:t>
      </w:r>
      <w:r>
        <w:rPr>
          <w:rFonts w:hint="eastAsia" w:ascii="宋体" w:hAnsi="宋体"/>
          <w:color w:val="auto"/>
          <w:sz w:val="24"/>
          <w:szCs w:val="24"/>
          <w:highlight w:val="none"/>
        </w:rPr>
        <w:t>自行提供</w:t>
      </w:r>
      <w:r>
        <w:rPr>
          <w:rFonts w:hint="eastAsia" w:ascii="宋体" w:hAnsi="宋体"/>
          <w:color w:val="auto"/>
          <w:sz w:val="24"/>
          <w:szCs w:val="24"/>
          <w:highlight w:val="none"/>
          <w:lang w:eastAsia="zh-CN"/>
        </w:rPr>
        <w:t>，</w:t>
      </w:r>
      <w:r>
        <w:rPr>
          <w:rFonts w:hint="eastAsia" w:ascii="宋体" w:hAnsi="宋体"/>
          <w:color w:val="auto"/>
          <w:sz w:val="24"/>
          <w:szCs w:val="24"/>
          <w:highlight w:val="none"/>
        </w:rPr>
        <w:t>同时也负责安装、操作和维修。</w:t>
      </w:r>
    </w:p>
    <w:p w14:paraId="102FDF03">
      <w:pPr>
        <w:snapToGrid w:val="0"/>
        <w:spacing w:line="440" w:lineRule="exact"/>
        <w:ind w:left="420"/>
        <w:rPr>
          <w:rFonts w:hint="eastAsia" w:ascii="宋体" w:hAnsi="宋体"/>
          <w:color w:val="auto"/>
          <w:sz w:val="24"/>
          <w:szCs w:val="24"/>
          <w:highlight w:val="none"/>
        </w:rPr>
      </w:pPr>
      <w:r>
        <w:rPr>
          <w:rFonts w:hint="eastAsia" w:ascii="宋体" w:hAnsi="宋体"/>
          <w:color w:val="auto"/>
          <w:sz w:val="24"/>
          <w:szCs w:val="24"/>
          <w:highlight w:val="none"/>
        </w:rPr>
        <w:t>3、</w:t>
      </w:r>
      <w:r>
        <w:rPr>
          <w:rFonts w:hint="eastAsia" w:ascii="宋体" w:hAnsi="宋体"/>
          <w:color w:val="auto"/>
          <w:sz w:val="24"/>
          <w:szCs w:val="24"/>
          <w:highlight w:val="none"/>
          <w:lang w:val="en-US" w:eastAsia="zh-CN"/>
        </w:rPr>
        <w:t>业主</w:t>
      </w:r>
      <w:r>
        <w:rPr>
          <w:rFonts w:hint="eastAsia" w:ascii="宋体" w:hAnsi="宋体"/>
          <w:color w:val="auto"/>
          <w:sz w:val="24"/>
          <w:szCs w:val="24"/>
          <w:highlight w:val="none"/>
        </w:rPr>
        <w:t>方负责</w:t>
      </w:r>
      <w:r>
        <w:rPr>
          <w:rFonts w:hint="eastAsia" w:ascii="宋体" w:hAnsi="宋体"/>
          <w:color w:val="auto"/>
          <w:sz w:val="24"/>
          <w:szCs w:val="24"/>
          <w:highlight w:val="none"/>
          <w:lang w:val="en-US" w:eastAsia="zh-CN"/>
        </w:rPr>
        <w:t>将供水供电设施提供至地表工业场地指定位置</w:t>
      </w:r>
      <w:r>
        <w:rPr>
          <w:rFonts w:hint="eastAsia" w:ascii="宋体" w:hAnsi="宋体"/>
          <w:color w:val="auto"/>
          <w:sz w:val="24"/>
          <w:szCs w:val="24"/>
          <w:highlight w:val="none"/>
        </w:rPr>
        <w:t>，电费</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水费</w:t>
      </w:r>
      <w:r>
        <w:rPr>
          <w:rFonts w:hint="eastAsia" w:ascii="宋体" w:hAnsi="宋体"/>
          <w:color w:val="auto"/>
          <w:sz w:val="24"/>
          <w:szCs w:val="24"/>
          <w:highlight w:val="none"/>
        </w:rPr>
        <w:t>由</w:t>
      </w:r>
      <w:r>
        <w:rPr>
          <w:rFonts w:hint="eastAsia" w:ascii="宋体" w:hAnsi="宋体"/>
          <w:color w:val="auto"/>
          <w:sz w:val="24"/>
          <w:szCs w:val="24"/>
          <w:highlight w:val="none"/>
          <w:lang w:val="en-US" w:eastAsia="zh-CN"/>
        </w:rPr>
        <w:t>中标单位</w:t>
      </w:r>
      <w:r>
        <w:rPr>
          <w:rFonts w:hint="eastAsia" w:ascii="宋体" w:hAnsi="宋体"/>
          <w:color w:val="auto"/>
          <w:sz w:val="24"/>
          <w:szCs w:val="24"/>
          <w:highlight w:val="none"/>
        </w:rPr>
        <w:t>承担。</w:t>
      </w:r>
    </w:p>
    <w:p w14:paraId="581E2189">
      <w:pPr>
        <w:snapToGrid w:val="0"/>
        <w:spacing w:line="440" w:lineRule="exact"/>
        <w:ind w:firstLine="482" w:firstLineChars="200"/>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六、工期要求：</w:t>
      </w:r>
    </w:p>
    <w:p w14:paraId="6CF90A1F">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color w:val="auto"/>
          <w:sz w:val="24"/>
          <w:szCs w:val="24"/>
          <w:highlight w:val="none"/>
        </w:rPr>
      </w:pPr>
      <w:r>
        <w:rPr>
          <w:rFonts w:hint="eastAsia" w:ascii="宋体" w:hAnsi="宋体"/>
          <w:color w:val="auto"/>
          <w:sz w:val="24"/>
          <w:szCs w:val="24"/>
          <w:highlight w:val="none"/>
        </w:rPr>
        <w:t>计划开工日期为 20</w:t>
      </w:r>
      <w:r>
        <w:rPr>
          <w:rFonts w:hint="eastAsia" w:ascii="宋体" w:hAnsi="宋体"/>
          <w:color w:val="auto"/>
          <w:sz w:val="24"/>
          <w:szCs w:val="24"/>
          <w:highlight w:val="none"/>
          <w:lang w:val="en-US" w:eastAsia="zh-CN"/>
        </w:rPr>
        <w:t>25</w:t>
      </w:r>
      <w:r>
        <w:rPr>
          <w:rFonts w:hint="eastAsia" w:ascii="宋体" w:hAnsi="宋体"/>
          <w:color w:val="auto"/>
          <w:sz w:val="24"/>
          <w:szCs w:val="24"/>
          <w:highlight w:val="none"/>
        </w:rPr>
        <w:t xml:space="preserve"> 年</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计划</w:t>
      </w:r>
      <w:r>
        <w:rPr>
          <w:rFonts w:hint="eastAsia" w:ascii="宋体" w:hAnsi="宋体"/>
          <w:color w:val="auto"/>
          <w:sz w:val="24"/>
          <w:szCs w:val="24"/>
          <w:highlight w:val="none"/>
        </w:rPr>
        <w:t>建设</w:t>
      </w:r>
      <w:r>
        <w:rPr>
          <w:rFonts w:hint="eastAsia" w:ascii="宋体" w:hAnsi="宋体"/>
          <w:color w:val="auto"/>
          <w:sz w:val="24"/>
          <w:szCs w:val="24"/>
          <w:highlight w:val="none"/>
          <w:lang w:val="en-US" w:eastAsia="zh-CN"/>
        </w:rPr>
        <w:t>总</w:t>
      </w:r>
      <w:r>
        <w:rPr>
          <w:rFonts w:hint="eastAsia" w:ascii="宋体" w:hAnsi="宋体"/>
          <w:color w:val="auto"/>
          <w:sz w:val="24"/>
          <w:szCs w:val="24"/>
          <w:highlight w:val="none"/>
        </w:rPr>
        <w:t>工期</w:t>
      </w:r>
      <w:r>
        <w:rPr>
          <w:rFonts w:hint="eastAsia" w:ascii="宋体" w:hAnsi="宋体"/>
          <w:color w:val="auto"/>
          <w:sz w:val="24"/>
          <w:szCs w:val="24"/>
          <w:highlight w:val="none"/>
          <w:u w:val="single"/>
          <w:lang w:val="en-US" w:eastAsia="zh-CN"/>
        </w:rPr>
        <w:t xml:space="preserve"> 7 </w:t>
      </w:r>
      <w:r>
        <w:rPr>
          <w:rFonts w:hint="eastAsia" w:ascii="宋体" w:hAnsi="宋体"/>
          <w:color w:val="auto"/>
          <w:sz w:val="24"/>
          <w:szCs w:val="24"/>
          <w:highlight w:val="none"/>
          <w:lang w:val="en-US" w:eastAsia="zh-CN"/>
        </w:rPr>
        <w:t>个月</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开工日期以业主批准的开工日期为准</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具体以合同签订时间为准</w:t>
      </w:r>
      <w:r>
        <w:rPr>
          <w:rFonts w:hint="eastAsia" w:ascii="宋体" w:hAnsi="宋体"/>
          <w:color w:val="auto"/>
          <w:sz w:val="24"/>
          <w:szCs w:val="24"/>
          <w:highlight w:val="none"/>
        </w:rPr>
        <w:t>。投标人按自身施工能力报月</w:t>
      </w:r>
      <w:r>
        <w:rPr>
          <w:rFonts w:hint="eastAsia" w:ascii="宋体" w:hAnsi="宋体"/>
          <w:color w:val="auto"/>
          <w:sz w:val="24"/>
          <w:szCs w:val="24"/>
          <w:highlight w:val="none"/>
          <w:lang w:val="en-US" w:eastAsia="zh-CN"/>
        </w:rPr>
        <w:t>度</w:t>
      </w:r>
      <w:r>
        <w:rPr>
          <w:rFonts w:hint="eastAsia" w:ascii="宋体" w:hAnsi="宋体"/>
          <w:color w:val="auto"/>
          <w:sz w:val="24"/>
          <w:szCs w:val="24"/>
          <w:highlight w:val="none"/>
        </w:rPr>
        <w:t>生产能力、填入投标函。连续</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个月</w:t>
      </w:r>
      <w:r>
        <w:rPr>
          <w:rFonts w:hint="eastAsia" w:ascii="宋体" w:hAnsi="宋体"/>
          <w:color w:val="auto"/>
          <w:sz w:val="24"/>
          <w:szCs w:val="24"/>
          <w:highlight w:val="none"/>
          <w:lang w:val="en-US" w:eastAsia="zh-CN"/>
        </w:rPr>
        <w:t>或累计3个月</w:t>
      </w:r>
      <w:r>
        <w:rPr>
          <w:rFonts w:hint="eastAsia" w:ascii="宋体" w:hAnsi="宋体"/>
          <w:color w:val="auto"/>
          <w:sz w:val="24"/>
          <w:szCs w:val="24"/>
          <w:highlight w:val="none"/>
        </w:rPr>
        <w:t>达不到进度要求，</w:t>
      </w:r>
      <w:bookmarkStart w:id="10" w:name="_Hlk156572344"/>
      <w:r>
        <w:rPr>
          <w:rFonts w:hint="eastAsia" w:ascii="宋体" w:hAnsi="宋体"/>
          <w:color w:val="auto"/>
          <w:sz w:val="24"/>
          <w:szCs w:val="24"/>
          <w:highlight w:val="none"/>
        </w:rPr>
        <w:t>发包方有权对其进行</w:t>
      </w:r>
      <w:r>
        <w:rPr>
          <w:rFonts w:hint="eastAsia" w:ascii="宋体" w:hAnsi="宋体"/>
          <w:color w:val="auto"/>
          <w:sz w:val="24"/>
          <w:szCs w:val="24"/>
          <w:highlight w:val="none"/>
          <w:lang w:val="en-US" w:eastAsia="zh-CN"/>
        </w:rPr>
        <w:t>考核直至</w:t>
      </w:r>
      <w:r>
        <w:rPr>
          <w:rFonts w:hint="eastAsia" w:ascii="宋体" w:hAnsi="宋体"/>
          <w:color w:val="auto"/>
          <w:sz w:val="24"/>
          <w:szCs w:val="24"/>
          <w:highlight w:val="none"/>
        </w:rPr>
        <w:t>解除施工合同，并由承包方承担</w:t>
      </w:r>
      <w:r>
        <w:rPr>
          <w:rFonts w:hint="eastAsia" w:ascii="宋体" w:hAnsi="宋体"/>
          <w:color w:val="auto"/>
          <w:sz w:val="24"/>
          <w:szCs w:val="24"/>
          <w:highlight w:val="none"/>
          <w:lang w:val="en-US" w:eastAsia="zh-CN"/>
        </w:rPr>
        <w:t>相关</w:t>
      </w:r>
      <w:r>
        <w:rPr>
          <w:rFonts w:hint="eastAsia" w:ascii="宋体" w:hAnsi="宋体"/>
          <w:color w:val="auto"/>
          <w:sz w:val="24"/>
          <w:szCs w:val="24"/>
          <w:highlight w:val="none"/>
        </w:rPr>
        <w:t>违约责任。</w:t>
      </w:r>
      <w:bookmarkEnd w:id="10"/>
    </w:p>
    <w:p w14:paraId="65CEA923">
      <w:pPr>
        <w:numPr>
          <w:ilvl w:val="0"/>
          <w:numId w:val="0"/>
        </w:numPr>
        <w:snapToGrid w:val="0"/>
        <w:spacing w:line="440" w:lineRule="exact"/>
        <w:ind w:firstLine="482" w:firstLineChars="200"/>
        <w:rPr>
          <w:rFonts w:hint="eastAsia" w:ascii="宋体" w:hAnsi="宋体" w:cs="宋体"/>
          <w:b/>
          <w:bCs/>
          <w:color w:val="auto"/>
          <w:sz w:val="24"/>
          <w:szCs w:val="24"/>
          <w:highlight w:val="none"/>
        </w:rPr>
      </w:pPr>
      <w:r>
        <w:rPr>
          <w:rFonts w:hint="eastAsia" w:ascii="宋体" w:hAnsi="宋体" w:eastAsia="宋体" w:cs="宋体"/>
          <w:b/>
          <w:bCs/>
          <w:color w:val="auto"/>
          <w:kern w:val="2"/>
          <w:sz w:val="24"/>
          <w:szCs w:val="24"/>
          <w:highlight w:val="none"/>
          <w:lang w:val="en-US" w:eastAsia="zh-CN" w:bidi="ar-SA"/>
        </w:rPr>
        <w:t>七、</w:t>
      </w:r>
      <w:r>
        <w:rPr>
          <w:rFonts w:hint="eastAsia" w:ascii="宋体" w:hAnsi="宋体" w:cs="宋体"/>
          <w:b/>
          <w:bCs/>
          <w:color w:val="auto"/>
          <w:sz w:val="24"/>
          <w:szCs w:val="24"/>
          <w:highlight w:val="none"/>
        </w:rPr>
        <w:t>质量要求：</w:t>
      </w:r>
    </w:p>
    <w:p w14:paraId="6DAE3944">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color w:val="auto"/>
          <w:sz w:val="24"/>
          <w:szCs w:val="24"/>
          <w:highlight w:val="none"/>
        </w:rPr>
      </w:pPr>
      <w:r>
        <w:rPr>
          <w:rFonts w:hint="eastAsia" w:ascii="宋体" w:hAnsi="宋体"/>
          <w:color w:val="auto"/>
          <w:sz w:val="24"/>
          <w:szCs w:val="24"/>
          <w:highlight w:val="none"/>
          <w:lang w:val="en-US" w:eastAsia="zh-CN"/>
        </w:rPr>
        <w:t>符合</w:t>
      </w:r>
      <w:r>
        <w:rPr>
          <w:rFonts w:hint="eastAsia" w:ascii="宋体" w:hAnsi="宋体"/>
          <w:color w:val="auto"/>
          <w:sz w:val="24"/>
          <w:szCs w:val="24"/>
          <w:highlight w:val="none"/>
        </w:rPr>
        <w:t>国家及行业标准、规范、规程</w:t>
      </w:r>
      <w:r>
        <w:rPr>
          <w:rFonts w:hint="eastAsia" w:ascii="宋体" w:hAnsi="宋体"/>
          <w:color w:val="auto"/>
          <w:sz w:val="24"/>
          <w:szCs w:val="24"/>
          <w:highlight w:val="none"/>
          <w:lang w:val="en-US" w:eastAsia="zh-CN"/>
        </w:rPr>
        <w:t>以及《初步设计》、《安全设施设计》中工程验收的合格标准，具体要求详见施工合同。尾矿库闭库工程施工验收参考《尾矿设施施工及验收规范》（GB 50864-2013）和《尾矿堆积坝排渗加固工程技术规范》（GB51118-2015）等规范进行。</w:t>
      </w:r>
      <w:r>
        <w:rPr>
          <w:rFonts w:hint="eastAsia" w:ascii="宋体" w:hAnsi="宋体"/>
          <w:color w:val="auto"/>
          <w:sz w:val="24"/>
          <w:szCs w:val="24"/>
          <w:highlight w:val="none"/>
        </w:rPr>
        <w:t>发包方每月组织验收组对工程的质量及进度进行验收。达不到合格标准的工程，承包方应无条件返工，并承担违约责任。</w:t>
      </w:r>
    </w:p>
    <w:p w14:paraId="21B5BA94">
      <w:pPr>
        <w:snapToGrid w:val="0"/>
        <w:spacing w:line="440" w:lineRule="exact"/>
        <w:ind w:firstLine="426" w:firstLineChars="177"/>
        <w:rPr>
          <w:rFonts w:hint="eastAsia" w:ascii="宋体" w:hAnsi="宋体"/>
          <w:b/>
          <w:bCs/>
          <w:color w:val="auto"/>
          <w:sz w:val="24"/>
          <w:szCs w:val="24"/>
          <w:highlight w:val="none"/>
        </w:rPr>
      </w:pPr>
      <w:r>
        <w:rPr>
          <w:rFonts w:hint="eastAsia" w:ascii="宋体" w:hAnsi="宋体"/>
          <w:b/>
          <w:bCs/>
          <w:color w:val="auto"/>
          <w:sz w:val="24"/>
          <w:szCs w:val="24"/>
          <w:highlight w:val="none"/>
        </w:rPr>
        <w:t>*八、投标人资格要求：</w:t>
      </w:r>
    </w:p>
    <w:p w14:paraId="5C3F9C30">
      <w:pPr>
        <w:spacing w:line="440" w:lineRule="exact"/>
        <w:ind w:firstLine="241" w:firstLineChars="100"/>
        <w:rPr>
          <w:rFonts w:hint="eastAsia" w:ascii="仿宋" w:hAnsi="仿宋" w:eastAsia="仿宋" w:cs="仿宋"/>
          <w:b/>
          <w:bCs/>
          <w:color w:val="auto"/>
          <w:sz w:val="24"/>
          <w:szCs w:val="24"/>
          <w:highlight w:val="none"/>
          <w:shd w:val="clear" w:color="auto" w:fill="FFFFFF"/>
        </w:rPr>
      </w:pPr>
      <w:r>
        <w:rPr>
          <w:rFonts w:hint="eastAsia" w:ascii="仿宋" w:hAnsi="仿宋" w:eastAsia="仿宋" w:cs="仿宋"/>
          <w:b/>
          <w:bCs/>
          <w:color w:val="auto"/>
          <w:sz w:val="24"/>
          <w:szCs w:val="24"/>
          <w:highlight w:val="none"/>
          <w:shd w:val="clear" w:color="auto" w:fill="FFFFFF"/>
        </w:rPr>
        <w:t>（一）投标人：</w:t>
      </w:r>
    </w:p>
    <w:p w14:paraId="61CE4D7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sz w:val="24"/>
          <w:szCs w:val="24"/>
          <w:highlight w:val="none"/>
        </w:rPr>
      </w:pPr>
      <w:r>
        <w:rPr>
          <w:rFonts w:hint="eastAsia"/>
          <w:color w:val="auto"/>
          <w:sz w:val="24"/>
          <w:szCs w:val="24"/>
          <w:highlight w:val="none"/>
        </w:rPr>
        <w:t>（1）投标人注册地要求：投标人必须是在中华人民共和国境内注册，并具有独立法人资格的企业</w:t>
      </w:r>
      <w:r>
        <w:rPr>
          <w:rFonts w:hint="eastAsia"/>
          <w:color w:val="auto"/>
          <w:sz w:val="24"/>
          <w:szCs w:val="24"/>
          <w:highlight w:val="none"/>
          <w:lang w:eastAsia="zh-CN"/>
        </w:rPr>
        <w:t>，</w:t>
      </w:r>
      <w:r>
        <w:rPr>
          <w:rFonts w:hint="eastAsia"/>
          <w:color w:val="auto"/>
          <w:sz w:val="24"/>
          <w:szCs w:val="24"/>
          <w:highlight w:val="none"/>
        </w:rPr>
        <w:t>具备圆满履行合同的能力。</w:t>
      </w:r>
    </w:p>
    <w:p w14:paraId="2D07257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sz w:val="24"/>
          <w:szCs w:val="24"/>
          <w:highlight w:val="none"/>
        </w:rPr>
      </w:pPr>
      <w:r>
        <w:rPr>
          <w:rFonts w:hint="eastAsia"/>
          <w:color w:val="auto"/>
          <w:sz w:val="24"/>
          <w:szCs w:val="24"/>
          <w:highlight w:val="none"/>
        </w:rPr>
        <w:t>（2）必须同时满足以下条件：</w:t>
      </w:r>
    </w:p>
    <w:p w14:paraId="3028587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sz w:val="24"/>
          <w:szCs w:val="24"/>
          <w:highlight w:val="none"/>
        </w:rPr>
      </w:pPr>
      <w:r>
        <w:rPr>
          <w:rFonts w:hint="eastAsia"/>
          <w:color w:val="auto"/>
          <w:sz w:val="24"/>
          <w:szCs w:val="24"/>
          <w:highlight w:val="none"/>
        </w:rPr>
        <w:t>a、具备矿山工程施工总承包</w:t>
      </w:r>
      <w:r>
        <w:rPr>
          <w:rFonts w:hint="eastAsia"/>
          <w:color w:val="auto"/>
          <w:sz w:val="24"/>
          <w:szCs w:val="24"/>
          <w:highlight w:val="none"/>
          <w:lang w:val="en-US" w:eastAsia="zh-CN"/>
        </w:rPr>
        <w:t>一</w:t>
      </w:r>
      <w:r>
        <w:rPr>
          <w:rFonts w:hint="eastAsia"/>
          <w:color w:val="auto"/>
          <w:sz w:val="24"/>
          <w:szCs w:val="24"/>
          <w:highlight w:val="none"/>
        </w:rPr>
        <w:t>级或以上资质；</w:t>
      </w:r>
    </w:p>
    <w:p w14:paraId="7B86C9F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sz w:val="24"/>
          <w:szCs w:val="24"/>
          <w:highlight w:val="none"/>
        </w:rPr>
      </w:pPr>
      <w:r>
        <w:rPr>
          <w:rFonts w:hint="eastAsia"/>
          <w:color w:val="auto"/>
          <w:sz w:val="24"/>
          <w:szCs w:val="24"/>
          <w:highlight w:val="none"/>
        </w:rPr>
        <w:t>b、具备建设行政主管部门颁发的安全生产许可证；</w:t>
      </w:r>
    </w:p>
    <w:p w14:paraId="025B053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sz w:val="24"/>
          <w:szCs w:val="24"/>
          <w:highlight w:val="none"/>
        </w:rPr>
      </w:pPr>
      <w:r>
        <w:rPr>
          <w:rFonts w:hint="eastAsia"/>
          <w:color w:val="auto"/>
          <w:sz w:val="24"/>
          <w:szCs w:val="24"/>
          <w:highlight w:val="none"/>
        </w:rPr>
        <w:t>c、具备安全生产监督管理部门颁发的安全生产许可证；</w:t>
      </w:r>
    </w:p>
    <w:p w14:paraId="066BF15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eastAsia="zh-CN"/>
        </w:rPr>
        <w:t>3</w:t>
      </w:r>
      <w:r>
        <w:rPr>
          <w:rFonts w:hint="eastAsia"/>
          <w:color w:val="auto"/>
          <w:sz w:val="24"/>
          <w:szCs w:val="24"/>
          <w:highlight w:val="none"/>
        </w:rPr>
        <w:t>）具有有效安全生产许可证；</w:t>
      </w:r>
    </w:p>
    <w:p w14:paraId="776C084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eastAsia="zh-CN"/>
        </w:rPr>
        <w:t>4</w:t>
      </w:r>
      <w:r>
        <w:rPr>
          <w:rFonts w:hint="eastAsia"/>
          <w:color w:val="auto"/>
          <w:sz w:val="24"/>
          <w:szCs w:val="24"/>
          <w:highlight w:val="none"/>
        </w:rPr>
        <w:t>）投标人未处于被责令停业，投标资格被取消，财产被接管、冻结，破产状态；</w:t>
      </w:r>
    </w:p>
    <w:p w14:paraId="528D5C4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sz w:val="24"/>
          <w:szCs w:val="24"/>
          <w:highlight w:val="none"/>
        </w:rPr>
      </w:pPr>
      <w:r>
        <w:rPr>
          <w:rFonts w:hint="eastAsia"/>
          <w:color w:val="auto"/>
          <w:sz w:val="24"/>
          <w:szCs w:val="24"/>
          <w:highlight w:val="none"/>
          <w:lang w:eastAsia="zh-CN"/>
        </w:rPr>
        <w:t>（</w:t>
      </w:r>
      <w:r>
        <w:rPr>
          <w:rFonts w:hint="eastAsia"/>
          <w:color w:val="auto"/>
          <w:sz w:val="24"/>
          <w:szCs w:val="24"/>
          <w:highlight w:val="none"/>
        </w:rPr>
        <w:t>5</w:t>
      </w:r>
      <w:r>
        <w:rPr>
          <w:rFonts w:hint="eastAsia"/>
          <w:color w:val="auto"/>
          <w:sz w:val="24"/>
          <w:szCs w:val="24"/>
          <w:highlight w:val="none"/>
          <w:lang w:eastAsia="zh-CN"/>
        </w:rPr>
        <w:t>）</w:t>
      </w:r>
      <w:r>
        <w:rPr>
          <w:rFonts w:hint="eastAsia"/>
          <w:color w:val="auto"/>
          <w:sz w:val="24"/>
          <w:szCs w:val="24"/>
          <w:highlight w:val="none"/>
        </w:rPr>
        <w:t>、本项目不接受联合体投标。</w:t>
      </w:r>
    </w:p>
    <w:p w14:paraId="242CFF3A">
      <w:pPr>
        <w:spacing w:line="440" w:lineRule="exact"/>
        <w:ind w:firstLine="241" w:firstLineChars="100"/>
        <w:rPr>
          <w:rFonts w:hint="eastAsia"/>
          <w:b/>
          <w:bCs/>
          <w:color w:val="auto"/>
          <w:sz w:val="24"/>
          <w:szCs w:val="24"/>
          <w:highlight w:val="none"/>
        </w:rPr>
      </w:pPr>
      <w:r>
        <w:rPr>
          <w:rFonts w:ascii="仿宋" w:hAnsi="仿宋" w:eastAsia="仿宋" w:cs="仿宋"/>
          <w:b/>
          <w:bCs/>
          <w:color w:val="auto"/>
          <w:sz w:val="24"/>
          <w:szCs w:val="24"/>
          <w:highlight w:val="none"/>
          <w:shd w:val="clear" w:color="auto" w:fill="FFFFFF"/>
        </w:rPr>
        <w:t>（二）拟派项目负责人：</w:t>
      </w:r>
    </w:p>
    <w:p w14:paraId="370AD65B">
      <w:pPr>
        <w:spacing w:line="440" w:lineRule="exact"/>
        <w:ind w:firstLine="480" w:firstLineChars="200"/>
        <w:rPr>
          <w:rFonts w:hint="default" w:ascii="Times New Roman" w:hAnsi="Times New Roman" w:eastAsia="宋体"/>
          <w:color w:val="auto"/>
          <w:sz w:val="24"/>
          <w:szCs w:val="24"/>
          <w:highlight w:val="none"/>
          <w:lang w:val="en-US" w:eastAsia="zh-CN"/>
        </w:rPr>
      </w:pPr>
      <w:r>
        <w:rPr>
          <w:rFonts w:hint="eastAsia" w:ascii="Times New Roman" w:hAnsi="Times New Roman"/>
          <w:color w:val="auto"/>
          <w:sz w:val="24"/>
          <w:szCs w:val="24"/>
          <w:highlight w:val="none"/>
        </w:rPr>
        <w:t>具备国家</w:t>
      </w:r>
      <w:r>
        <w:rPr>
          <w:rFonts w:hint="eastAsia" w:ascii="Times New Roman" w:hAnsi="Times New Roman"/>
          <w:color w:val="auto"/>
          <w:sz w:val="24"/>
          <w:szCs w:val="24"/>
          <w:highlight w:val="none"/>
          <w:lang w:val="en-US" w:eastAsia="zh-CN"/>
        </w:rPr>
        <w:t>一</w:t>
      </w:r>
      <w:r>
        <w:rPr>
          <w:rFonts w:hint="eastAsia" w:ascii="Times New Roman" w:hAnsi="Times New Roman"/>
          <w:color w:val="auto"/>
          <w:sz w:val="24"/>
          <w:szCs w:val="24"/>
          <w:highlight w:val="none"/>
        </w:rPr>
        <w:t>级</w:t>
      </w:r>
      <w:r>
        <w:rPr>
          <w:rFonts w:hint="eastAsia" w:ascii="Times New Roman" w:hAnsi="Times New Roman"/>
          <w:color w:val="auto"/>
          <w:sz w:val="24"/>
          <w:szCs w:val="24"/>
          <w:highlight w:val="none"/>
          <w:lang w:val="en-US" w:eastAsia="zh-CN"/>
        </w:rPr>
        <w:t>及以上</w:t>
      </w:r>
      <w:r>
        <w:rPr>
          <w:rFonts w:hint="eastAsia" w:ascii="Times New Roman" w:hAnsi="Times New Roman"/>
          <w:color w:val="auto"/>
          <w:sz w:val="24"/>
          <w:szCs w:val="24"/>
          <w:highlight w:val="none"/>
        </w:rPr>
        <w:t>注册建造师资质(专业类别</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rPr>
        <w:t>矿业工程)且注册证书上注明的聘用单位名称与投标人名称一致，且在本项目施工期间无在建工程(出具无在建承诺书)，持有建设行政主管部门核发的经年检合格有效的安全生产考核合格证书B证，自2020年1月1日至今，作为项目经理至少完成过1项金属非金属矿山建设工程项目业绩，且单项合同金额不低于</w:t>
      </w:r>
      <w:r>
        <w:rPr>
          <w:rFonts w:hint="eastAsia" w:ascii="Times New Roman" w:hAnsi="Times New Roman"/>
          <w:color w:val="auto"/>
          <w:sz w:val="24"/>
          <w:szCs w:val="24"/>
          <w:highlight w:val="none"/>
          <w:lang w:val="en-US" w:eastAsia="zh-CN"/>
        </w:rPr>
        <w:t>1000</w:t>
      </w:r>
      <w:r>
        <w:rPr>
          <w:rFonts w:hint="eastAsia" w:ascii="Times New Roman" w:hAnsi="Times New Roman"/>
          <w:color w:val="auto"/>
          <w:sz w:val="24"/>
          <w:szCs w:val="24"/>
          <w:highlight w:val="none"/>
        </w:rPr>
        <w:t>万元（须提供中标通知书、合同关键页及竣工验收证明等加盖公章的佐证材料）。</w:t>
      </w:r>
    </w:p>
    <w:p w14:paraId="77C3CCB3">
      <w:pPr>
        <w:spacing w:line="440" w:lineRule="exact"/>
        <w:ind w:firstLine="241" w:firstLineChars="100"/>
        <w:rPr>
          <w:rFonts w:hint="eastAsia" w:ascii="仿宋" w:hAnsi="仿宋" w:eastAsia="仿宋" w:cs="仿宋"/>
          <w:b/>
          <w:bCs/>
          <w:color w:val="auto"/>
          <w:sz w:val="24"/>
          <w:szCs w:val="24"/>
          <w:highlight w:val="none"/>
          <w:shd w:val="clear" w:color="auto" w:fill="FFFFFF"/>
        </w:rPr>
      </w:pPr>
      <w:r>
        <w:rPr>
          <w:rFonts w:hint="eastAsia" w:ascii="仿宋" w:hAnsi="仿宋" w:eastAsia="仿宋" w:cs="仿宋"/>
          <w:b/>
          <w:bCs/>
          <w:color w:val="auto"/>
          <w:sz w:val="24"/>
          <w:szCs w:val="24"/>
          <w:highlight w:val="none"/>
          <w:shd w:val="clear" w:color="auto" w:fill="FFFFFF"/>
        </w:rPr>
        <w:t>（三）其他：</w:t>
      </w:r>
    </w:p>
    <w:p w14:paraId="7D092777">
      <w:pPr>
        <w:spacing w:line="440" w:lineRule="exact"/>
        <w:ind w:firstLine="240" w:firstLineChars="100"/>
        <w:rPr>
          <w:rFonts w:hint="eastAsia"/>
          <w:color w:val="auto"/>
          <w:sz w:val="24"/>
          <w:szCs w:val="24"/>
          <w:highlight w:val="none"/>
        </w:rPr>
      </w:pPr>
      <w:r>
        <w:rPr>
          <w:rFonts w:hint="eastAsia"/>
          <w:color w:val="auto"/>
          <w:sz w:val="24"/>
          <w:szCs w:val="24"/>
          <w:highlight w:val="none"/>
        </w:rPr>
        <w:t>1、符合以下规定条件。</w:t>
      </w:r>
    </w:p>
    <w:p w14:paraId="0940592F">
      <w:pPr>
        <w:spacing w:line="440" w:lineRule="exact"/>
        <w:ind w:firstLine="480" w:firstLineChars="200"/>
        <w:rPr>
          <w:rFonts w:hint="eastAsia" w:ascii="Times New Roman" w:hAnsi="Times New Roman"/>
          <w:color w:val="auto"/>
          <w:sz w:val="24"/>
          <w:szCs w:val="24"/>
          <w:highlight w:val="none"/>
        </w:rPr>
      </w:pPr>
      <w:r>
        <w:rPr>
          <w:rFonts w:hint="eastAsia"/>
          <w:color w:val="auto"/>
          <w:sz w:val="24"/>
          <w:szCs w:val="24"/>
          <w:highlight w:val="none"/>
        </w:rPr>
        <w:t>（</w:t>
      </w:r>
      <w:r>
        <w:rPr>
          <w:rFonts w:hint="eastAsia" w:ascii="Times New Roman" w:hAnsi="Times New Roman"/>
          <w:color w:val="auto"/>
          <w:sz w:val="24"/>
          <w:szCs w:val="24"/>
          <w:highlight w:val="none"/>
        </w:rPr>
        <w:t>1）具有独立承担民事责任和履行合同能力；</w:t>
      </w:r>
    </w:p>
    <w:p w14:paraId="31E8B0B5">
      <w:pPr>
        <w:spacing w:line="44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（2）具有良好的商业信誉和健全的财务会计制度；</w:t>
      </w:r>
    </w:p>
    <w:p w14:paraId="6D3E60B8">
      <w:pPr>
        <w:spacing w:line="44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（3）具有履行合同所必需的设备和专业技术能力；</w:t>
      </w:r>
    </w:p>
    <w:p w14:paraId="03666C63">
      <w:pPr>
        <w:spacing w:line="44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（4）有依法缴纳税收和社会保障资金的良好记录；</w:t>
      </w:r>
    </w:p>
    <w:p w14:paraId="716AF5B1">
      <w:pPr>
        <w:spacing w:line="440" w:lineRule="exact"/>
        <w:ind w:firstLine="480" w:firstLineChars="200"/>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（5）</w:t>
      </w:r>
      <w:r>
        <w:rPr>
          <w:rFonts w:hint="eastAsia" w:ascii="宋体" w:eastAsia="宋体" w:cs="宋体"/>
          <w:kern w:val="0"/>
          <w:sz w:val="24"/>
          <w:szCs w:val="24"/>
          <w:highlight w:val="none"/>
        </w:rPr>
        <w:t>投标人投标截止时间未被“信用中国”网站（www.creditchina.gov.cn)列为</w:t>
      </w:r>
      <w:r>
        <w:rPr>
          <w:rFonts w:hint="eastAsia" w:ascii="Times New Roman" w:hAnsi="Times New Roman"/>
          <w:color w:val="auto"/>
          <w:sz w:val="24"/>
          <w:szCs w:val="24"/>
          <w:highlight w:val="none"/>
          <w:lang w:val="en-US" w:eastAsia="zh-CN"/>
        </w:rPr>
        <w:t>未被列入失信被执行人、重大税收违法案件当事人。</w:t>
      </w:r>
    </w:p>
    <w:p w14:paraId="12090907">
      <w:pPr>
        <w:spacing w:line="440" w:lineRule="exact"/>
        <w:ind w:firstLine="480" w:firstLineChars="200"/>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（6）投标人自2022年1月1日（成立时间不足三年的，自成立之日起）以来在浙江省内未发生一般性安全生产事故，未因农民工工资情况被处罚或通报的。</w:t>
      </w:r>
    </w:p>
    <w:p w14:paraId="6ACAEF91">
      <w:pPr>
        <w:spacing w:line="440" w:lineRule="exact"/>
        <w:ind w:firstLine="480" w:firstLineChars="200"/>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7）本工程所有人员在整个建设过程中不得更换(不可抗力和招标人同意除外)，且中标人项目部的项目经理、技术负责人、安全负责人、专职安全生产管理人员、专业技术人员、特种作业人员相关证件复印件(加盖中标人公章)交招标人保管，直至工程竣工。</w:t>
      </w:r>
    </w:p>
    <w:p w14:paraId="3F891892">
      <w:pPr>
        <w:spacing w:line="440" w:lineRule="exact"/>
        <w:ind w:firstLine="480" w:firstLineChars="200"/>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（8）投标人当前在浙江省未被市级或以上行政主管部门责令停业、取消、暂停或行政处分等限制投标，投标人在投标文件中出具专项承诺。</w:t>
      </w:r>
    </w:p>
    <w:p w14:paraId="17CFC07B">
      <w:pPr>
        <w:spacing w:line="440" w:lineRule="exact"/>
        <w:ind w:firstLine="480" w:firstLineChars="200"/>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9）项目经理、技术负责人、安全负责人、专职安全生产管理人员、专业技术人员、特种作业人员必须是投标人企业的正式职工，不得使用劳务派遣人员、临时人员，且不得在其他矿山兼职，提供社保证明，以证明其投标时在投标单位工作，其中施工员、质检员（质量员）、材料员各一名、专职安全员2名，且不得兼职。</w:t>
      </w:r>
    </w:p>
    <w:p w14:paraId="0718E7B6">
      <w:pPr>
        <w:snapToGrid w:val="0"/>
        <w:spacing w:line="440" w:lineRule="exact"/>
        <w:ind w:firstLine="426" w:firstLineChars="177"/>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九、获取招标文件：</w:t>
      </w:r>
    </w:p>
    <w:p w14:paraId="103033D1">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1、时间：自本公告发布之日起至投标截止时间。</w:t>
      </w:r>
    </w:p>
    <w:p w14:paraId="1F6BC5B9">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2、地点（网址）：化工云商网（巨化数字化招采平台）https://juhua.ccccnet.com/</w:t>
      </w:r>
    </w:p>
    <w:p w14:paraId="430A52B4">
      <w:pPr>
        <w:snapToGrid w:val="0"/>
        <w:spacing w:line="440" w:lineRule="exact"/>
        <w:ind w:firstLine="424" w:firstLineChars="177"/>
        <w:jc w:val="left"/>
        <w:rPr>
          <w:rFonts w:hint="eastAsia" w:ascii="宋体" w:cs="宋体"/>
          <w:color w:val="auto"/>
          <w:sz w:val="24"/>
          <w:szCs w:val="24"/>
          <w:highlight w:val="none"/>
        </w:rPr>
      </w:pPr>
      <w:r>
        <w:rPr>
          <w:rFonts w:hint="eastAsia" w:ascii="宋体" w:hAnsi="宋体" w:cs="宋体"/>
          <w:color w:val="auto"/>
          <w:sz w:val="24"/>
          <w:szCs w:val="24"/>
          <w:highlight w:val="none"/>
        </w:rPr>
        <w:t>3、</w:t>
      </w:r>
      <w:r>
        <w:rPr>
          <w:rFonts w:hint="eastAsia" w:ascii="宋体" w:cs="宋体"/>
          <w:color w:val="auto"/>
          <w:sz w:val="24"/>
          <w:szCs w:val="24"/>
          <w:highlight w:val="none"/>
        </w:rPr>
        <w:t>如有意向参加投标，投标人需在巨化数字化招采平台注册、登录并报名。</w:t>
      </w:r>
    </w:p>
    <w:p w14:paraId="4DD757AE">
      <w:pPr>
        <w:snapToGrid w:val="0"/>
        <w:spacing w:line="440" w:lineRule="exact"/>
        <w:ind w:firstLine="424" w:firstLineChars="177"/>
        <w:jc w:val="left"/>
        <w:rPr>
          <w:rFonts w:hint="eastAsia" w:ascii="宋体" w:cs="宋体"/>
          <w:color w:val="auto"/>
          <w:sz w:val="24"/>
          <w:szCs w:val="24"/>
          <w:highlight w:val="none"/>
        </w:rPr>
      </w:pPr>
      <w:r>
        <w:rPr>
          <w:rFonts w:hint="eastAsia" w:ascii="宋体" w:cs="宋体"/>
          <w:color w:val="auto"/>
          <w:sz w:val="24"/>
          <w:szCs w:val="24"/>
          <w:highlight w:val="none"/>
        </w:rPr>
        <w:t>报名方式：登录巨化数字化招采平台后选择“供应商门户”-“招标公告”选择本项目招标公告的“查看”，在 “②投标”选择“公开报名”-“报名”。</w:t>
      </w:r>
    </w:p>
    <w:p w14:paraId="7E60E32E">
      <w:pPr>
        <w:snapToGrid w:val="0"/>
        <w:spacing w:line="440" w:lineRule="exact"/>
        <w:ind w:firstLine="424" w:firstLineChars="177"/>
        <w:jc w:val="left"/>
        <w:rPr>
          <w:rFonts w:hint="eastAsia" w:ascii="宋体" w:cs="宋体"/>
          <w:color w:val="auto"/>
          <w:sz w:val="24"/>
          <w:szCs w:val="24"/>
          <w:highlight w:val="none"/>
        </w:rPr>
      </w:pPr>
      <w:r>
        <w:rPr>
          <w:rFonts w:hint="eastAsia" w:ascii="宋体" w:cs="宋体"/>
          <w:color w:val="auto"/>
          <w:sz w:val="24"/>
          <w:szCs w:val="24"/>
          <w:highlight w:val="none"/>
        </w:rPr>
        <w:t>递交电子投标文件前还需申领“CA专用数字证书（天谷）”，投标人应充分考虑完成注册、申领数字证书等所需的时间。</w:t>
      </w:r>
    </w:p>
    <w:p w14:paraId="57E2E4D8">
      <w:pPr>
        <w:snapToGrid w:val="0"/>
        <w:spacing w:line="440" w:lineRule="exact"/>
        <w:ind w:firstLine="424" w:firstLineChars="177"/>
        <w:jc w:val="left"/>
        <w:rPr>
          <w:rFonts w:hint="eastAsia" w:ascii="宋体" w:cs="宋体"/>
          <w:color w:val="auto"/>
          <w:sz w:val="24"/>
          <w:szCs w:val="24"/>
          <w:highlight w:val="none"/>
        </w:rPr>
      </w:pPr>
      <w:r>
        <w:rPr>
          <w:rFonts w:hint="eastAsia" w:ascii="宋体" w:cs="宋体"/>
          <w:color w:val="auto"/>
          <w:sz w:val="24"/>
          <w:szCs w:val="24"/>
          <w:highlight w:val="none"/>
        </w:rPr>
        <w:t>注册、投标等相关操作方法详见“电子投标供应商操作手册”，获取方式：巨化数字化招采平台首页-“下载中心”-“供应商操作手册（招标）”。</w:t>
      </w:r>
    </w:p>
    <w:p w14:paraId="3D17879F">
      <w:pPr>
        <w:snapToGrid w:val="0"/>
        <w:spacing w:line="440" w:lineRule="exact"/>
        <w:ind w:firstLine="424" w:firstLineChars="177"/>
        <w:rPr>
          <w:rFonts w:ascii="宋体" w:hAnsi="宋体" w:cs="宋体"/>
          <w:color w:val="auto"/>
          <w:sz w:val="24"/>
          <w:szCs w:val="24"/>
          <w:highlight w:val="none"/>
        </w:rPr>
      </w:pPr>
      <w:r>
        <w:rPr>
          <w:rFonts w:hint="eastAsia" w:ascii="宋体" w:hAnsi="宋体" w:cs="宋体"/>
          <w:color w:val="auto"/>
          <w:sz w:val="24"/>
          <w:szCs w:val="24"/>
          <w:highlight w:val="none"/>
        </w:rPr>
        <w:t>4、招标文件价格：500元人民币</w:t>
      </w:r>
      <w:r>
        <w:rPr>
          <w:rFonts w:hint="eastAsia" w:ascii="宋体" w:hAnsi="宋体" w:cs="宋体"/>
          <w:color w:val="auto"/>
          <w:sz w:val="24"/>
          <w:szCs w:val="24"/>
          <w:highlight w:val="none"/>
          <w:lang w:val="en-US" w:eastAsia="zh-CN"/>
        </w:rPr>
        <w:t>(包含施工图纸PDF电子版)</w:t>
      </w:r>
      <w:r>
        <w:rPr>
          <w:rFonts w:hint="eastAsia" w:ascii="宋体" w:hAnsi="宋体" w:cs="宋体"/>
          <w:color w:val="auto"/>
          <w:sz w:val="24"/>
          <w:szCs w:val="24"/>
          <w:highlight w:val="none"/>
        </w:rPr>
        <w:t>，售后不退。</w:t>
      </w:r>
    </w:p>
    <w:p w14:paraId="5F52E045">
      <w:pPr>
        <w:snapToGrid w:val="0"/>
        <w:spacing w:line="440" w:lineRule="exact"/>
        <w:ind w:firstLine="426" w:firstLineChars="177"/>
        <w:rPr>
          <w:rFonts w:hint="eastAsia" w:ascii="宋体" w:hAnsi="宋体" w:cs="宋体"/>
          <w:color w:val="auto"/>
          <w:sz w:val="24"/>
          <w:szCs w:val="24"/>
          <w:highlight w:val="none"/>
        </w:rPr>
      </w:pPr>
      <w:r>
        <w:rPr>
          <w:rFonts w:hint="eastAsia" w:ascii="宋体" w:hAnsi="宋体"/>
          <w:b/>
          <w:bCs/>
          <w:color w:val="auto"/>
          <w:sz w:val="24"/>
          <w:szCs w:val="24"/>
          <w:highlight w:val="none"/>
        </w:rPr>
        <w:t>十</w:t>
      </w:r>
      <w:r>
        <w:rPr>
          <w:rFonts w:ascii="宋体" w:hAnsi="宋体"/>
          <w:b/>
          <w:bCs/>
          <w:color w:val="auto"/>
          <w:sz w:val="24"/>
          <w:szCs w:val="24"/>
          <w:highlight w:val="none"/>
        </w:rPr>
        <w:t>、投标截止时间：</w:t>
      </w:r>
      <w:r>
        <w:rPr>
          <w:rFonts w:hint="eastAsia" w:ascii="宋体" w:hAnsi="宋体"/>
          <w:color w:val="auto"/>
          <w:sz w:val="24"/>
          <w:szCs w:val="24"/>
          <w:highlight w:val="none"/>
          <w:u w:val="none"/>
          <w:lang w:val="en-US" w:eastAsia="zh-CN"/>
        </w:rPr>
        <w:t xml:space="preserve">2025 年5 </w:t>
      </w:r>
      <w:r>
        <w:rPr>
          <w:rFonts w:hint="eastAsia" w:ascii="宋体" w:hAnsi="宋体"/>
          <w:color w:val="auto"/>
          <w:sz w:val="24"/>
          <w:szCs w:val="24"/>
          <w:highlight w:val="none"/>
          <w:u w:val="none"/>
        </w:rPr>
        <w:t>月</w:t>
      </w:r>
      <w:r>
        <w:rPr>
          <w:rFonts w:hint="eastAsia" w:ascii="宋体" w:hAnsi="宋体"/>
          <w:color w:val="auto"/>
          <w:sz w:val="24"/>
          <w:szCs w:val="24"/>
          <w:highlight w:val="none"/>
          <w:u w:val="none"/>
          <w:lang w:val="en-US" w:eastAsia="zh-CN"/>
        </w:rPr>
        <w:t xml:space="preserve">16 </w:t>
      </w:r>
      <w:r>
        <w:rPr>
          <w:rFonts w:hint="eastAsia" w:ascii="宋体" w:hAnsi="宋体"/>
          <w:color w:val="auto"/>
          <w:sz w:val="24"/>
          <w:szCs w:val="24"/>
          <w:highlight w:val="none"/>
          <w:u w:val="none"/>
        </w:rPr>
        <w:t>日</w:t>
      </w:r>
      <w:r>
        <w:rPr>
          <w:rFonts w:hint="eastAsia" w:ascii="宋体" w:hAnsi="宋体"/>
          <w:color w:val="auto"/>
          <w:sz w:val="24"/>
          <w:szCs w:val="24"/>
          <w:highlight w:val="none"/>
          <w:u w:val="none"/>
          <w:lang w:val="en-US" w:eastAsia="zh-CN"/>
        </w:rPr>
        <w:t>09</w:t>
      </w:r>
      <w:r>
        <w:rPr>
          <w:rFonts w:hint="eastAsia" w:ascii="宋体" w:hAnsi="宋体"/>
          <w:color w:val="auto"/>
          <w:sz w:val="24"/>
          <w:szCs w:val="24"/>
          <w:highlight w:val="none"/>
          <w:u w:val="none"/>
        </w:rPr>
        <w:t xml:space="preserve"> 时</w:t>
      </w:r>
      <w:r>
        <w:rPr>
          <w:rFonts w:hint="eastAsia" w:ascii="宋体" w:hAnsi="宋体"/>
          <w:color w:val="auto"/>
          <w:sz w:val="24"/>
          <w:szCs w:val="24"/>
          <w:highlight w:val="none"/>
          <w:u w:val="none"/>
          <w:lang w:val="en-US" w:eastAsia="zh-CN"/>
        </w:rPr>
        <w:t>00</w:t>
      </w:r>
      <w:r>
        <w:rPr>
          <w:rFonts w:hint="eastAsia" w:ascii="宋体" w:hAnsi="宋体"/>
          <w:color w:val="auto"/>
          <w:sz w:val="24"/>
          <w:szCs w:val="24"/>
          <w:highlight w:val="none"/>
          <w:u w:val="none"/>
        </w:rPr>
        <w:t>分</w:t>
      </w:r>
      <w:r>
        <w:rPr>
          <w:rFonts w:hint="eastAsia" w:ascii="宋体" w:hAnsi="宋体"/>
          <w:bCs/>
          <w:color w:val="auto"/>
          <w:sz w:val="24"/>
          <w:szCs w:val="24"/>
          <w:highlight w:val="none"/>
          <w:u w:val="none"/>
        </w:rPr>
        <w:t>（北京时间）</w:t>
      </w:r>
      <w:r>
        <w:rPr>
          <w:rFonts w:hint="eastAsia" w:ascii="宋体" w:hAnsi="宋体"/>
          <w:bCs/>
          <w:color w:val="auto"/>
          <w:sz w:val="24"/>
          <w:szCs w:val="24"/>
          <w:highlight w:val="none"/>
        </w:rPr>
        <w:t>前递交（上传）投标</w:t>
      </w:r>
      <w:r>
        <w:rPr>
          <w:rFonts w:ascii="宋体" w:hAnsi="宋体"/>
          <w:bCs/>
          <w:color w:val="auto"/>
          <w:sz w:val="24"/>
          <w:szCs w:val="24"/>
          <w:highlight w:val="none"/>
        </w:rPr>
        <w:t>文件</w:t>
      </w:r>
      <w:r>
        <w:rPr>
          <w:rFonts w:hint="eastAsia" w:ascii="宋体" w:hAnsi="宋体"/>
          <w:color w:val="auto"/>
          <w:sz w:val="24"/>
          <w:szCs w:val="24"/>
          <w:highlight w:val="none"/>
        </w:rPr>
        <w:t>。</w:t>
      </w:r>
    </w:p>
    <w:p w14:paraId="7D7D3C73">
      <w:pPr>
        <w:snapToGrid w:val="0"/>
        <w:spacing w:line="440" w:lineRule="exact"/>
        <w:ind w:firstLine="426" w:firstLineChars="177"/>
        <w:rPr>
          <w:rFonts w:hint="eastAsia" w:ascii="宋体" w:cs="宋体"/>
          <w:b/>
          <w:bCs/>
          <w:color w:val="auto"/>
          <w:sz w:val="24"/>
          <w:szCs w:val="24"/>
          <w:highlight w:val="none"/>
        </w:rPr>
      </w:pPr>
      <w:r>
        <w:rPr>
          <w:rFonts w:hint="eastAsia" w:ascii="宋体" w:hAnsi="宋体"/>
          <w:b/>
          <w:bCs/>
          <w:color w:val="auto"/>
          <w:sz w:val="24"/>
          <w:szCs w:val="24"/>
          <w:highlight w:val="none"/>
        </w:rPr>
        <w:t>十一</w:t>
      </w:r>
      <w:r>
        <w:rPr>
          <w:rFonts w:ascii="宋体" w:hAnsi="宋体"/>
          <w:b/>
          <w:bCs/>
          <w:color w:val="auto"/>
          <w:sz w:val="24"/>
          <w:szCs w:val="24"/>
          <w:highlight w:val="none"/>
        </w:rPr>
        <w:t>、</w:t>
      </w:r>
      <w:r>
        <w:rPr>
          <w:rFonts w:hint="eastAsia" w:ascii="宋体" w:cs="宋体"/>
          <w:b/>
          <w:bCs/>
          <w:color w:val="auto"/>
          <w:sz w:val="24"/>
          <w:szCs w:val="24"/>
          <w:highlight w:val="none"/>
        </w:rPr>
        <w:t>投标地点（网址）：</w:t>
      </w:r>
    </w:p>
    <w:p w14:paraId="46540989">
      <w:pPr>
        <w:snapToGrid w:val="0"/>
        <w:spacing w:line="440" w:lineRule="exact"/>
        <w:ind w:firstLine="662" w:firstLineChars="276"/>
        <w:rPr>
          <w:rFonts w:hint="eastAsia" w:ascii="宋体" w:hAnsi="宋体" w:cs="宋体"/>
          <w:color w:val="auto"/>
          <w:sz w:val="24"/>
          <w:szCs w:val="24"/>
          <w:highlight w:val="none"/>
        </w:rPr>
      </w:pPr>
      <w:r>
        <w:rPr>
          <w:rFonts w:hint="eastAsia" w:ascii="宋体" w:cs="宋体"/>
          <w:color w:val="auto"/>
          <w:sz w:val="24"/>
          <w:szCs w:val="24"/>
          <w:highlight w:val="none"/>
        </w:rPr>
        <w:t>1.“电子加密投标文件”：化工云商网（巨化数字化招采平台）https://juhua.ccccnet.com/在线投标。</w:t>
      </w:r>
    </w:p>
    <w:p w14:paraId="5300D608">
      <w:pPr>
        <w:snapToGrid w:val="0"/>
        <w:spacing w:line="440" w:lineRule="exact"/>
        <w:ind w:firstLine="426" w:firstLineChars="177"/>
        <w:rPr>
          <w:rFonts w:hint="eastAsia" w:ascii="宋体" w:hAnsi="宋体" w:cs="宋体"/>
          <w:color w:val="auto"/>
          <w:sz w:val="24"/>
          <w:szCs w:val="24"/>
          <w:highlight w:val="none"/>
        </w:rPr>
      </w:pPr>
      <w:r>
        <w:rPr>
          <w:rFonts w:ascii="宋体" w:hAnsi="宋体"/>
          <w:b/>
          <w:bCs/>
          <w:color w:val="auto"/>
          <w:sz w:val="24"/>
          <w:szCs w:val="24"/>
          <w:highlight w:val="none"/>
        </w:rPr>
        <w:t>十</w:t>
      </w:r>
      <w:r>
        <w:rPr>
          <w:rFonts w:hint="eastAsia" w:ascii="宋体" w:hAnsi="宋体"/>
          <w:b/>
          <w:bCs/>
          <w:color w:val="auto"/>
          <w:sz w:val="24"/>
          <w:szCs w:val="24"/>
          <w:highlight w:val="none"/>
        </w:rPr>
        <w:t>二</w:t>
      </w:r>
      <w:r>
        <w:rPr>
          <w:rFonts w:ascii="宋体" w:hAnsi="宋体"/>
          <w:b/>
          <w:bCs/>
          <w:color w:val="auto"/>
          <w:sz w:val="24"/>
          <w:szCs w:val="24"/>
          <w:highlight w:val="none"/>
        </w:rPr>
        <w:t>、开标时间：</w:t>
      </w:r>
      <w:r>
        <w:rPr>
          <w:rFonts w:hint="eastAsia" w:ascii="宋体" w:hAnsi="宋体"/>
          <w:color w:val="auto"/>
          <w:sz w:val="24"/>
          <w:szCs w:val="24"/>
          <w:highlight w:val="none"/>
          <w:u w:val="none"/>
          <w:lang w:val="en-US" w:eastAsia="zh-CN"/>
        </w:rPr>
        <w:t>2025 年 5</w:t>
      </w:r>
      <w:r>
        <w:rPr>
          <w:rFonts w:hint="eastAsia" w:ascii="宋体" w:hAnsi="宋体"/>
          <w:color w:val="auto"/>
          <w:sz w:val="24"/>
          <w:szCs w:val="24"/>
          <w:highlight w:val="none"/>
          <w:u w:val="none"/>
        </w:rPr>
        <w:t>月</w:t>
      </w:r>
      <w:r>
        <w:rPr>
          <w:rFonts w:hint="eastAsia" w:ascii="宋体" w:hAnsi="宋体"/>
          <w:color w:val="auto"/>
          <w:sz w:val="24"/>
          <w:szCs w:val="24"/>
          <w:highlight w:val="none"/>
          <w:u w:val="none"/>
          <w:lang w:val="en-US" w:eastAsia="zh-CN"/>
        </w:rPr>
        <w:t>16</w:t>
      </w:r>
      <w:r>
        <w:rPr>
          <w:rFonts w:hint="eastAsia" w:ascii="宋体" w:hAnsi="宋体"/>
          <w:color w:val="auto"/>
          <w:sz w:val="24"/>
          <w:szCs w:val="24"/>
          <w:highlight w:val="none"/>
          <w:u w:val="none"/>
        </w:rPr>
        <w:t>日</w:t>
      </w:r>
      <w:r>
        <w:rPr>
          <w:rFonts w:hint="eastAsia" w:ascii="宋体" w:hAnsi="宋体"/>
          <w:color w:val="auto"/>
          <w:sz w:val="24"/>
          <w:szCs w:val="24"/>
          <w:highlight w:val="none"/>
          <w:u w:val="none"/>
          <w:lang w:val="en-US" w:eastAsia="zh-CN"/>
        </w:rPr>
        <w:t>09</w:t>
      </w:r>
      <w:r>
        <w:rPr>
          <w:rFonts w:hint="eastAsia" w:ascii="宋体" w:hAnsi="宋体"/>
          <w:color w:val="auto"/>
          <w:sz w:val="24"/>
          <w:szCs w:val="24"/>
          <w:highlight w:val="none"/>
          <w:u w:val="none"/>
        </w:rPr>
        <w:t xml:space="preserve"> 时</w:t>
      </w:r>
      <w:r>
        <w:rPr>
          <w:rFonts w:hint="eastAsia" w:ascii="宋体" w:hAnsi="宋体"/>
          <w:color w:val="auto"/>
          <w:sz w:val="24"/>
          <w:szCs w:val="24"/>
          <w:highlight w:val="none"/>
          <w:u w:val="none"/>
          <w:lang w:val="en-US" w:eastAsia="zh-CN"/>
        </w:rPr>
        <w:t>00</w:t>
      </w:r>
      <w:r>
        <w:rPr>
          <w:rFonts w:hint="eastAsia" w:ascii="宋体" w:hAnsi="宋体"/>
          <w:color w:val="auto"/>
          <w:sz w:val="24"/>
          <w:szCs w:val="24"/>
          <w:highlight w:val="none"/>
          <w:u w:val="none"/>
        </w:rPr>
        <w:t>分</w:t>
      </w:r>
      <w:r>
        <w:rPr>
          <w:rFonts w:hint="eastAsia" w:ascii="宋体" w:hAnsi="宋体" w:cs="宋体"/>
          <w:color w:val="auto"/>
          <w:sz w:val="24"/>
          <w:szCs w:val="24"/>
          <w:highlight w:val="none"/>
        </w:rPr>
        <w:t>（北京时间）</w:t>
      </w:r>
    </w:p>
    <w:p w14:paraId="7F828EE9">
      <w:pPr>
        <w:snapToGrid w:val="0"/>
        <w:spacing w:line="440" w:lineRule="exact"/>
        <w:ind w:firstLine="426" w:firstLineChars="177"/>
        <w:rPr>
          <w:rFonts w:hint="eastAsia" w:ascii="宋体" w:hAnsi="宋体" w:cs="宋体"/>
          <w:color w:val="auto"/>
          <w:sz w:val="24"/>
          <w:szCs w:val="24"/>
          <w:highlight w:val="none"/>
        </w:rPr>
      </w:pPr>
      <w:r>
        <w:rPr>
          <w:rFonts w:ascii="宋体" w:hAnsi="宋体"/>
          <w:b/>
          <w:bCs/>
          <w:color w:val="auto"/>
          <w:sz w:val="24"/>
          <w:szCs w:val="24"/>
          <w:highlight w:val="none"/>
        </w:rPr>
        <w:t>十</w:t>
      </w:r>
      <w:r>
        <w:rPr>
          <w:rFonts w:hint="eastAsia" w:ascii="宋体" w:hAnsi="宋体"/>
          <w:b/>
          <w:bCs/>
          <w:color w:val="auto"/>
          <w:sz w:val="24"/>
          <w:szCs w:val="24"/>
          <w:highlight w:val="none"/>
        </w:rPr>
        <w:t>三</w:t>
      </w:r>
      <w:r>
        <w:rPr>
          <w:rFonts w:ascii="宋体" w:hAnsi="宋体"/>
          <w:b/>
          <w:bCs/>
          <w:color w:val="auto"/>
          <w:sz w:val="24"/>
          <w:szCs w:val="24"/>
          <w:highlight w:val="none"/>
        </w:rPr>
        <w:t>、</w:t>
      </w:r>
      <w:r>
        <w:rPr>
          <w:rFonts w:hint="eastAsia" w:ascii="宋体" w:cs="宋体"/>
          <w:b/>
          <w:bCs/>
          <w:color w:val="auto"/>
          <w:sz w:val="24"/>
          <w:szCs w:val="24"/>
          <w:highlight w:val="none"/>
        </w:rPr>
        <w:t>本项目采用电子招标投标方式，潜在投标人访问电子招标投标交易平台的网址：</w:t>
      </w:r>
      <w:r>
        <w:rPr>
          <w:rFonts w:hint="eastAsia" w:ascii="宋体"/>
          <w:color w:val="auto"/>
          <w:sz w:val="24"/>
          <w:szCs w:val="24"/>
          <w:highlight w:val="none"/>
        </w:rPr>
        <w:t>巨化数字化招采平台（</w:t>
      </w:r>
      <w:r>
        <w:rPr>
          <w:rFonts w:hint="eastAsia" w:ascii="宋体" w:cs="宋体"/>
          <w:color w:val="auto"/>
          <w:sz w:val="24"/>
          <w:szCs w:val="24"/>
          <w:highlight w:val="none"/>
        </w:rPr>
        <w:t>https://juhua.ccccnet.com/</w:t>
      </w:r>
      <w:r>
        <w:rPr>
          <w:rFonts w:hint="eastAsia" w:ascii="宋体"/>
          <w:color w:val="auto"/>
          <w:sz w:val="24"/>
          <w:szCs w:val="24"/>
          <w:highlight w:val="none"/>
        </w:rPr>
        <w:t>）</w:t>
      </w:r>
    </w:p>
    <w:p w14:paraId="5EFE29E6">
      <w:pPr>
        <w:snapToGrid w:val="0"/>
        <w:spacing w:line="440" w:lineRule="exact"/>
        <w:ind w:firstLine="426" w:firstLineChars="177"/>
        <w:rPr>
          <w:rFonts w:hint="eastAsia" w:ascii="宋体" w:hAnsi="宋体" w:cs="宋体"/>
          <w:color w:val="auto"/>
          <w:sz w:val="24"/>
          <w:szCs w:val="24"/>
          <w:highlight w:val="none"/>
        </w:rPr>
      </w:pPr>
      <w:r>
        <w:rPr>
          <w:rFonts w:ascii="宋体" w:hAnsi="宋体"/>
          <w:b/>
          <w:bCs/>
          <w:color w:val="auto"/>
          <w:sz w:val="24"/>
          <w:szCs w:val="24"/>
          <w:highlight w:val="none"/>
        </w:rPr>
        <w:t>*十</w:t>
      </w:r>
      <w:r>
        <w:rPr>
          <w:rFonts w:hint="eastAsia" w:ascii="宋体" w:hAnsi="宋体"/>
          <w:b/>
          <w:bCs/>
          <w:color w:val="auto"/>
          <w:sz w:val="24"/>
          <w:szCs w:val="24"/>
          <w:highlight w:val="none"/>
        </w:rPr>
        <w:t>四</w:t>
      </w:r>
      <w:r>
        <w:rPr>
          <w:rFonts w:ascii="宋体" w:hAnsi="宋体"/>
          <w:b/>
          <w:bCs/>
          <w:color w:val="auto"/>
          <w:sz w:val="24"/>
          <w:szCs w:val="24"/>
          <w:highlight w:val="none"/>
        </w:rPr>
        <w:t>、投标保证金：</w:t>
      </w:r>
    </w:p>
    <w:p w14:paraId="7B0E44CF">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金额：1</w:t>
      </w:r>
      <w:r>
        <w:rPr>
          <w:rFonts w:hint="eastAsia" w:ascii="宋体" w:hAnsi="宋体" w:cs="宋体"/>
          <w:color w:val="auto"/>
          <w:sz w:val="24"/>
          <w:szCs w:val="24"/>
          <w:highlight w:val="none"/>
          <w:lang w:val="en-US" w:eastAsia="zh-CN"/>
        </w:rPr>
        <w:t>0</w:t>
      </w:r>
      <w:r>
        <w:rPr>
          <w:rFonts w:hint="eastAsia" w:ascii="宋体" w:hAnsi="宋体" w:cs="宋体"/>
          <w:color w:val="auto"/>
          <w:sz w:val="24"/>
          <w:szCs w:val="24"/>
          <w:highlight w:val="none"/>
        </w:rPr>
        <w:t>0000元整；</w:t>
      </w:r>
    </w:p>
    <w:p w14:paraId="6553C88D">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支付方式：银行汇款、</w:t>
      </w:r>
      <w:r>
        <w:rPr>
          <w:rFonts w:hint="eastAsia" w:ascii="宋体" w:hAnsi="宋体" w:cs="宋体"/>
          <w:color w:val="auto"/>
          <w:sz w:val="24"/>
          <w:szCs w:val="24"/>
          <w:highlight w:val="none"/>
          <w:lang w:eastAsia="zh-CN"/>
        </w:rPr>
        <w:t>银行转账、</w:t>
      </w:r>
      <w:r>
        <w:rPr>
          <w:rFonts w:hint="eastAsia" w:ascii="宋体" w:hAnsi="宋体" w:cs="宋体"/>
          <w:color w:val="auto"/>
          <w:sz w:val="24"/>
          <w:szCs w:val="24"/>
          <w:highlight w:val="none"/>
          <w:lang w:val="en-US" w:eastAsia="zh-CN"/>
        </w:rPr>
        <w:t>银行保函</w:t>
      </w:r>
      <w:r>
        <w:rPr>
          <w:rFonts w:hint="eastAsia" w:ascii="宋体" w:hAnsi="宋体" w:cs="宋体"/>
          <w:color w:val="auto"/>
          <w:sz w:val="24"/>
          <w:szCs w:val="24"/>
          <w:highlight w:val="none"/>
        </w:rPr>
        <w:t>等形式；（备注：</w:t>
      </w:r>
      <w:r>
        <w:rPr>
          <w:rFonts w:hint="eastAsia"/>
          <w:color w:val="auto"/>
          <w:sz w:val="24"/>
          <w:szCs w:val="24"/>
          <w:highlight w:val="none"/>
          <w:lang w:eastAsia="zh-CN"/>
        </w:rPr>
        <w:t>化矿尾矿库闭库工程投标保证金</w:t>
      </w:r>
      <w:r>
        <w:rPr>
          <w:rFonts w:hint="eastAsia" w:ascii="宋体" w:hAnsi="宋体" w:cs="宋体"/>
          <w:color w:val="auto"/>
          <w:sz w:val="24"/>
          <w:szCs w:val="24"/>
          <w:highlight w:val="none"/>
        </w:rPr>
        <w:t>）</w:t>
      </w:r>
    </w:p>
    <w:p w14:paraId="5E692BA3">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收款单位（户名）：浙江南方工程咨询管理有限公司；</w:t>
      </w:r>
    </w:p>
    <w:p w14:paraId="626717D7">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开户行：建行衢化支行；</w:t>
      </w:r>
    </w:p>
    <w:p w14:paraId="194925C3">
      <w:pPr>
        <w:snapToGrid w:val="0"/>
        <w:spacing w:line="440" w:lineRule="exact"/>
        <w:ind w:firstLine="424" w:firstLineChars="177"/>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账  号：330016852000500029</w:t>
      </w:r>
      <w:r>
        <w:rPr>
          <w:rFonts w:hint="eastAsia" w:ascii="宋体" w:hAnsi="宋体" w:cs="宋体"/>
          <w:color w:val="auto"/>
          <w:sz w:val="24"/>
          <w:szCs w:val="24"/>
          <w:highlight w:val="none"/>
          <w:lang w:val="en-US" w:eastAsia="zh-CN"/>
        </w:rPr>
        <w:t>82</w:t>
      </w:r>
    </w:p>
    <w:p w14:paraId="39D82468">
      <w:pPr>
        <w:snapToGrid w:val="0"/>
        <w:spacing w:line="440" w:lineRule="exact"/>
        <w:ind w:firstLine="424" w:firstLineChars="177"/>
        <w:rPr>
          <w:rFonts w:hint="eastAsia"/>
          <w:color w:val="auto"/>
          <w:highlight w:val="none"/>
        </w:rPr>
      </w:pPr>
      <w:r>
        <w:rPr>
          <w:rFonts w:hint="eastAsia" w:ascii="宋体" w:hAnsi="宋体" w:eastAsia="宋体" w:cs="宋体"/>
          <w:color w:val="auto"/>
          <w:sz w:val="24"/>
          <w:szCs w:val="24"/>
          <w:highlight w:val="none"/>
        </w:rPr>
        <w:t>缴纳时间：投标人须在投标截止时间前</w:t>
      </w:r>
      <w:r>
        <w:rPr>
          <w:rFonts w:hint="eastAsia" w:ascii="宋体" w:hAnsi="宋体" w:eastAsia="宋体" w:cs="宋体"/>
          <w:color w:val="auto"/>
          <w:sz w:val="24"/>
          <w:szCs w:val="24"/>
          <w:highlight w:val="none"/>
          <w:lang w:val="en-US" w:eastAsia="zh-CN"/>
        </w:rPr>
        <w:t>递交投标保证金</w:t>
      </w:r>
      <w:r>
        <w:rPr>
          <w:rFonts w:hint="eastAsia" w:ascii="宋体" w:hAnsi="宋体" w:eastAsia="宋体" w:cs="宋体"/>
          <w:color w:val="auto"/>
          <w:sz w:val="24"/>
          <w:szCs w:val="24"/>
          <w:highlight w:val="none"/>
        </w:rPr>
        <w:t>，确保在</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截止时间前入账。交纳时请注明：</w:t>
      </w:r>
      <w:r>
        <w:rPr>
          <w:rFonts w:hint="eastAsia" w:ascii="宋体" w:hAnsi="宋体" w:cs="宋体"/>
          <w:color w:val="auto"/>
          <w:sz w:val="24"/>
          <w:szCs w:val="24"/>
          <w:highlight w:val="none"/>
          <w:lang w:eastAsia="zh-CN"/>
        </w:rPr>
        <w:t>化矿尾矿库闭库工程投标保证金</w:t>
      </w:r>
      <w:r>
        <w:rPr>
          <w:rFonts w:hint="eastAsia" w:ascii="宋体" w:hAnsi="宋体" w:eastAsia="宋体" w:cs="宋体"/>
          <w:color w:val="auto"/>
          <w:sz w:val="24"/>
          <w:szCs w:val="24"/>
          <w:highlight w:val="none"/>
        </w:rPr>
        <w:t>，保证金交纳方名称必须和</w:t>
      </w:r>
      <w:r>
        <w:rPr>
          <w:rFonts w:hint="eastAsia" w:ascii="宋体" w:hAnsi="宋体" w:eastAsia="宋体" w:cs="宋体"/>
          <w:color w:val="auto"/>
          <w:sz w:val="24"/>
          <w:szCs w:val="24"/>
          <w:highlight w:val="none"/>
          <w:lang w:eastAsia="zh-CN"/>
        </w:rPr>
        <w:t>投标</w:t>
      </w:r>
      <w:r>
        <w:rPr>
          <w:rFonts w:hint="eastAsia" w:ascii="宋体" w:hAnsi="宋体" w:eastAsia="宋体" w:cs="宋体"/>
          <w:color w:val="auto"/>
          <w:sz w:val="24"/>
          <w:szCs w:val="24"/>
          <w:highlight w:val="none"/>
        </w:rPr>
        <w:t>人名称一致，否则保证金视同未交纳。</w:t>
      </w:r>
    </w:p>
    <w:p w14:paraId="5CDEAD24">
      <w:pPr>
        <w:snapToGrid w:val="0"/>
        <w:spacing w:line="440" w:lineRule="exact"/>
        <w:ind w:firstLine="426" w:firstLineChars="177"/>
        <w:rPr>
          <w:rFonts w:ascii="宋体" w:hAnsi="宋体"/>
          <w:b/>
          <w:bCs/>
          <w:color w:val="auto"/>
          <w:sz w:val="24"/>
          <w:szCs w:val="24"/>
          <w:highlight w:val="none"/>
        </w:rPr>
      </w:pPr>
      <w:r>
        <w:rPr>
          <w:rFonts w:ascii="宋体" w:hAnsi="宋体"/>
          <w:b/>
          <w:bCs/>
          <w:color w:val="auto"/>
          <w:sz w:val="24"/>
          <w:szCs w:val="24"/>
          <w:highlight w:val="none"/>
        </w:rPr>
        <w:t>十</w:t>
      </w:r>
      <w:r>
        <w:rPr>
          <w:rFonts w:hint="eastAsia" w:ascii="宋体" w:hAnsi="宋体"/>
          <w:b/>
          <w:bCs/>
          <w:color w:val="auto"/>
          <w:sz w:val="24"/>
          <w:szCs w:val="24"/>
          <w:highlight w:val="none"/>
        </w:rPr>
        <w:t>五</w:t>
      </w:r>
      <w:r>
        <w:rPr>
          <w:rFonts w:ascii="宋体" w:hAnsi="宋体"/>
          <w:b/>
          <w:bCs/>
          <w:color w:val="auto"/>
          <w:sz w:val="24"/>
          <w:szCs w:val="24"/>
          <w:highlight w:val="none"/>
        </w:rPr>
        <w:t>、公告信息发布网站：</w:t>
      </w:r>
    </w:p>
    <w:p w14:paraId="6527FE53">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本次招标公告同时在巨化数字化招采平台</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中国招标投标公共服务平台</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中国采购与招标网</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浙江企业采购信息服务网上发布。</w:t>
      </w:r>
    </w:p>
    <w:p w14:paraId="6D8071B1">
      <w:pPr>
        <w:snapToGrid w:val="0"/>
        <w:spacing w:line="440" w:lineRule="exact"/>
        <w:ind w:firstLine="426" w:firstLineChars="177"/>
        <w:rPr>
          <w:rFonts w:ascii="宋体" w:hAnsi="宋体"/>
          <w:b/>
          <w:bCs/>
          <w:color w:val="auto"/>
          <w:sz w:val="24"/>
          <w:szCs w:val="24"/>
          <w:highlight w:val="none"/>
        </w:rPr>
      </w:pPr>
      <w:r>
        <w:rPr>
          <w:rFonts w:ascii="宋体" w:hAnsi="宋体"/>
          <w:b/>
          <w:bCs/>
          <w:color w:val="auto"/>
          <w:sz w:val="24"/>
          <w:szCs w:val="24"/>
          <w:highlight w:val="none"/>
        </w:rPr>
        <w:t>十</w:t>
      </w:r>
      <w:r>
        <w:rPr>
          <w:rFonts w:hint="eastAsia" w:ascii="宋体" w:hAnsi="宋体"/>
          <w:b/>
          <w:bCs/>
          <w:color w:val="auto"/>
          <w:sz w:val="24"/>
          <w:szCs w:val="24"/>
          <w:highlight w:val="none"/>
        </w:rPr>
        <w:t>六</w:t>
      </w:r>
      <w:r>
        <w:rPr>
          <w:rFonts w:ascii="宋体" w:hAnsi="宋体"/>
          <w:b/>
          <w:bCs/>
          <w:color w:val="auto"/>
          <w:sz w:val="24"/>
          <w:szCs w:val="24"/>
          <w:highlight w:val="none"/>
        </w:rPr>
        <w:t>、联系方法：</w:t>
      </w:r>
    </w:p>
    <w:p w14:paraId="3288B439">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招 标 人：</w:t>
      </w:r>
      <w:r>
        <w:rPr>
          <w:rFonts w:hint="eastAsia" w:ascii="宋体" w:hAnsi="宋体" w:cs="宋体"/>
          <w:color w:val="auto"/>
          <w:sz w:val="24"/>
          <w:szCs w:val="24"/>
          <w:highlight w:val="none"/>
          <w:lang w:eastAsia="zh-CN"/>
        </w:rPr>
        <w:t>浙江巨化化工矿业有限公司</w:t>
      </w:r>
      <w:r>
        <w:rPr>
          <w:rFonts w:hint="eastAsia" w:ascii="宋体" w:hAnsi="宋体" w:cs="宋体"/>
          <w:color w:val="auto"/>
          <w:sz w:val="24"/>
          <w:szCs w:val="24"/>
          <w:highlight w:val="none"/>
        </w:rPr>
        <w:t xml:space="preserve"> </w:t>
      </w:r>
    </w:p>
    <w:p w14:paraId="1F528706">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联系人：</w:t>
      </w:r>
      <w:r>
        <w:rPr>
          <w:rFonts w:hint="eastAsia" w:ascii="宋体" w:hAnsi="宋体" w:cs="宋体"/>
          <w:color w:val="auto"/>
          <w:sz w:val="24"/>
          <w:szCs w:val="24"/>
          <w:highlight w:val="none"/>
          <w:lang w:val="en-US" w:eastAsia="zh-CN"/>
        </w:rPr>
        <w:t>王良通</w:t>
      </w:r>
      <w:r>
        <w:rPr>
          <w:rFonts w:hint="eastAsia" w:ascii="宋体" w:hAnsi="宋体" w:cs="宋体"/>
          <w:color w:val="auto"/>
          <w:sz w:val="24"/>
          <w:szCs w:val="24"/>
          <w:highlight w:val="none"/>
        </w:rPr>
        <w:t xml:space="preserve">     </w:t>
      </w:r>
    </w:p>
    <w:p w14:paraId="10B23CC2">
      <w:pPr>
        <w:snapToGrid w:val="0"/>
        <w:spacing w:line="440" w:lineRule="exact"/>
        <w:ind w:firstLine="424" w:firstLineChars="177"/>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联系电话：</w:t>
      </w:r>
      <w:r>
        <w:rPr>
          <w:rFonts w:hint="eastAsia" w:ascii="宋体" w:hAnsi="宋体" w:cs="宋体"/>
          <w:color w:val="auto"/>
          <w:sz w:val="24"/>
          <w:szCs w:val="24"/>
          <w:highlight w:val="none"/>
          <w:lang w:val="en-US" w:eastAsia="zh-CN"/>
        </w:rPr>
        <w:t>13575684685</w:t>
      </w:r>
    </w:p>
    <w:p w14:paraId="025A685F">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招标代理机构：浙江南方工程咨询管理有限公司</w:t>
      </w:r>
    </w:p>
    <w:p w14:paraId="6B03D0F3">
      <w:pPr>
        <w:snapToGrid w:val="0"/>
        <w:spacing w:line="440" w:lineRule="exact"/>
        <w:ind w:firstLine="424" w:firstLineChars="177"/>
        <w:rPr>
          <w:rFonts w:ascii="宋体" w:hAnsi="宋体" w:cs="宋体"/>
          <w:color w:val="auto"/>
          <w:sz w:val="24"/>
          <w:szCs w:val="24"/>
          <w:highlight w:val="none"/>
        </w:rPr>
      </w:pPr>
      <w:r>
        <w:rPr>
          <w:rFonts w:hint="eastAsia" w:ascii="宋体" w:hAnsi="宋体" w:cs="宋体"/>
          <w:color w:val="auto"/>
          <w:sz w:val="24"/>
          <w:szCs w:val="24"/>
          <w:highlight w:val="none"/>
        </w:rPr>
        <w:t>地址：浙江衢州市柯城区衢化街道文苑村31幢208-210室</w:t>
      </w:r>
    </w:p>
    <w:p w14:paraId="45051009">
      <w:pPr>
        <w:snapToGrid w:val="0"/>
        <w:spacing w:line="440" w:lineRule="exact"/>
        <w:ind w:firstLine="424" w:firstLineChars="177"/>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联系人：</w:t>
      </w:r>
      <w:r>
        <w:rPr>
          <w:rFonts w:hint="eastAsia" w:ascii="宋体" w:hAnsi="宋体" w:cs="宋体"/>
          <w:color w:val="auto"/>
          <w:sz w:val="24"/>
          <w:szCs w:val="24"/>
          <w:highlight w:val="none"/>
          <w:lang w:val="zh-CN"/>
        </w:rPr>
        <w:t xml:space="preserve">王靓 </w:t>
      </w:r>
    </w:p>
    <w:p w14:paraId="3810638E">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 xml:space="preserve">联系电话：13059721359（585525） </w:t>
      </w:r>
    </w:p>
    <w:p w14:paraId="73142B0A">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Mail</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HYPERLINK "mailto:76653161@qq.com" </w:instrText>
      </w:r>
      <w:r>
        <w:rPr>
          <w:rFonts w:hint="eastAsia" w:ascii="宋体" w:hAnsi="宋体" w:cs="宋体"/>
          <w:color w:val="auto"/>
          <w:sz w:val="24"/>
          <w:szCs w:val="24"/>
          <w:highlight w:val="none"/>
        </w:rPr>
        <w:fldChar w:fldCharType="separate"/>
      </w:r>
      <w:r>
        <w:rPr>
          <w:rFonts w:hint="eastAsia" w:ascii="宋体" w:hAnsi="宋体" w:cs="宋体"/>
          <w:color w:val="auto"/>
          <w:sz w:val="24"/>
          <w:szCs w:val="24"/>
          <w:highlight w:val="none"/>
        </w:rPr>
        <w:t>1966640845@qq.com</w:t>
      </w:r>
      <w:r>
        <w:rPr>
          <w:rFonts w:hint="eastAsia" w:ascii="宋体" w:hAnsi="宋体" w:cs="宋体"/>
          <w:color w:val="auto"/>
          <w:sz w:val="24"/>
          <w:szCs w:val="24"/>
          <w:highlight w:val="none"/>
        </w:rPr>
        <w:fldChar w:fldCharType="end"/>
      </w:r>
    </w:p>
    <w:p w14:paraId="0A2E10ED">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监督部门：巨化招标办公室  </w:t>
      </w:r>
    </w:p>
    <w:p w14:paraId="3114AA52">
      <w:pPr>
        <w:snapToGrid w:val="0"/>
        <w:spacing w:line="440" w:lineRule="exact"/>
        <w:ind w:firstLine="424" w:firstLineChars="177"/>
        <w:rPr>
          <w:rFonts w:hint="eastAsia" w:ascii="宋体" w:hAnsi="宋体" w:cs="宋体"/>
          <w:color w:val="auto"/>
          <w:sz w:val="24"/>
          <w:szCs w:val="24"/>
          <w:highlight w:val="none"/>
        </w:rPr>
      </w:pPr>
      <w:r>
        <w:rPr>
          <w:rFonts w:hint="eastAsia" w:ascii="宋体" w:hAnsi="宋体" w:cs="宋体"/>
          <w:color w:val="auto"/>
          <w:sz w:val="24"/>
          <w:szCs w:val="24"/>
          <w:highlight w:val="none"/>
        </w:rPr>
        <w:t>联系电话：0570-3091876</w:t>
      </w:r>
    </w:p>
    <w:p w14:paraId="6583F7A8">
      <w:pPr>
        <w:spacing w:line="360" w:lineRule="auto"/>
        <w:ind w:firstLine="422" w:firstLineChars="200"/>
        <w:rPr>
          <w:rFonts w:hint="eastAsia" w:ascii="宋体" w:hAnsi="宋体"/>
          <w:b/>
          <w:color w:val="auto"/>
          <w:szCs w:val="21"/>
          <w:highlight w:val="none"/>
        </w:rPr>
      </w:pPr>
    </w:p>
    <w:p w14:paraId="15764A37">
      <w:pPr>
        <w:spacing w:line="360" w:lineRule="auto"/>
        <w:ind w:firstLine="422" w:firstLineChars="200"/>
        <w:rPr>
          <w:rFonts w:hint="eastAsia" w:ascii="宋体" w:hAnsi="宋体"/>
          <w:b/>
          <w:color w:val="auto"/>
          <w:szCs w:val="21"/>
          <w:highlight w:val="none"/>
        </w:rPr>
      </w:pPr>
    </w:p>
    <w:p w14:paraId="4C4E63BE">
      <w:pPr>
        <w:spacing w:line="360" w:lineRule="auto"/>
        <w:ind w:firstLine="422" w:firstLineChars="200"/>
        <w:rPr>
          <w:rFonts w:hint="eastAsia" w:ascii="宋体" w:hAnsi="宋体"/>
          <w:b/>
          <w:color w:val="auto"/>
          <w:szCs w:val="21"/>
          <w:highlight w:val="none"/>
        </w:rPr>
      </w:pPr>
    </w:p>
    <w:p w14:paraId="12D9E004">
      <w:pPr>
        <w:spacing w:line="360" w:lineRule="auto"/>
        <w:rPr>
          <w:rFonts w:hint="eastAsia"/>
          <w:color w:val="auto"/>
          <w:highlight w:val="none"/>
        </w:rPr>
      </w:pPr>
      <w:r>
        <w:rPr>
          <w:color w:val="auto"/>
          <w:highlight w:val="none"/>
        </w:rPr>
        <w:br w:type="page"/>
      </w:r>
    </w:p>
    <w:p w14:paraId="760D068A">
      <w:pPr>
        <w:pStyle w:val="4"/>
        <w:spacing w:line="360" w:lineRule="auto"/>
        <w:rPr>
          <w:rFonts w:hint="eastAsia" w:asciiTheme="majorEastAsia" w:hAnsiTheme="majorEastAsia" w:eastAsiaTheme="majorEastAsia" w:cstheme="majorEastAsia"/>
          <w:b w:val="0"/>
          <w:color w:val="auto"/>
          <w:sz w:val="44"/>
          <w:szCs w:val="44"/>
          <w:highlight w:val="none"/>
        </w:rPr>
      </w:pPr>
      <w:bookmarkStart w:id="11" w:name="_Toc72846749"/>
      <w:r>
        <w:rPr>
          <w:rFonts w:hint="eastAsia" w:asciiTheme="majorEastAsia" w:hAnsiTheme="majorEastAsia" w:eastAsiaTheme="majorEastAsia" w:cstheme="majorEastAsia"/>
          <w:b w:val="0"/>
          <w:color w:val="auto"/>
          <w:sz w:val="44"/>
          <w:szCs w:val="44"/>
          <w:highlight w:val="none"/>
        </w:rPr>
        <w:t>第二章  投标人须知</w:t>
      </w:r>
      <w:bookmarkEnd w:id="11"/>
    </w:p>
    <w:p w14:paraId="4F8AE1FD">
      <w:pPr>
        <w:pStyle w:val="5"/>
        <w:spacing w:before="156" w:beforeLines="50" w:after="93" w:afterLines="30"/>
        <w:jc w:val="center"/>
        <w:rPr>
          <w:rFonts w:hint="eastAsia"/>
          <w:color w:val="auto"/>
          <w:highlight w:val="none"/>
        </w:rPr>
      </w:pPr>
      <w:bookmarkStart w:id="12" w:name="_Toc61616070"/>
      <w:bookmarkStart w:id="13" w:name="_Toc18404891"/>
      <w:bookmarkStart w:id="14" w:name="_Toc72846750"/>
      <w:r>
        <w:rPr>
          <w:rFonts w:hint="eastAsia"/>
          <w:color w:val="auto"/>
          <w:highlight w:val="none"/>
        </w:rPr>
        <w:t>投标人须知前附表</w:t>
      </w:r>
      <w:bookmarkEnd w:id="12"/>
      <w:bookmarkEnd w:id="13"/>
      <w:bookmarkEnd w:id="14"/>
    </w:p>
    <w:p w14:paraId="6432A250">
      <w:pPr>
        <w:spacing w:after="93" w:afterLines="30"/>
        <w:ind w:left="-210" w:leftChars="-100" w:right="-210" w:rightChars="-100"/>
        <w:jc w:val="center"/>
        <w:rPr>
          <w:rFonts w:hint="eastAsia" w:ascii="方正黑体简体" w:eastAsia="方正黑体简体"/>
          <w:color w:val="auto"/>
          <w:sz w:val="24"/>
          <w:highlight w:val="none"/>
        </w:rPr>
      </w:pPr>
      <w:r>
        <w:rPr>
          <w:rFonts w:hint="eastAsia"/>
          <w:color w:val="auto"/>
          <w:szCs w:val="21"/>
          <w:highlight w:val="none"/>
        </w:rPr>
        <w:t>本前附表为投标人须知的补充、修改。如发现与投标人须知内容有矛盾的，以本前附表内容为准。</w:t>
      </w:r>
    </w:p>
    <w:tbl>
      <w:tblPr>
        <w:tblStyle w:val="21"/>
        <w:tblW w:w="10413"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108" w:type="dxa"/>
          <w:bottom w:w="0" w:type="dxa"/>
          <w:right w:w="108" w:type="dxa"/>
        </w:tblCellMar>
      </w:tblPr>
      <w:tblGrid>
        <w:gridCol w:w="1111"/>
        <w:gridCol w:w="1985"/>
        <w:gridCol w:w="7317"/>
      </w:tblGrid>
      <w:tr w14:paraId="243922D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57" w:hRule="atLeast"/>
          <w:tblHeader/>
          <w:jc w:val="center"/>
        </w:trPr>
        <w:tc>
          <w:tcPr>
            <w:tcW w:w="1111" w:type="dxa"/>
            <w:noWrap w:val="0"/>
            <w:vAlign w:val="center"/>
          </w:tcPr>
          <w:p w14:paraId="2A584A14">
            <w:pPr>
              <w:spacing w:line="300" w:lineRule="auto"/>
              <w:jc w:val="center"/>
              <w:rPr>
                <w:rFonts w:hint="eastAsia" w:ascii="宋体" w:hAnsi="宋体"/>
                <w:b/>
                <w:color w:val="auto"/>
                <w:sz w:val="24"/>
                <w:szCs w:val="24"/>
                <w:highlight w:val="none"/>
              </w:rPr>
            </w:pPr>
            <w:r>
              <w:rPr>
                <w:rFonts w:hint="eastAsia" w:ascii="宋体" w:hAnsi="宋体"/>
                <w:b/>
                <w:color w:val="auto"/>
                <w:sz w:val="24"/>
                <w:szCs w:val="24"/>
                <w:highlight w:val="none"/>
              </w:rPr>
              <w:t>序号</w:t>
            </w:r>
          </w:p>
        </w:tc>
        <w:tc>
          <w:tcPr>
            <w:tcW w:w="1985" w:type="dxa"/>
            <w:noWrap w:val="0"/>
            <w:vAlign w:val="center"/>
          </w:tcPr>
          <w:p w14:paraId="69EDBAAB">
            <w:pPr>
              <w:spacing w:line="300" w:lineRule="auto"/>
              <w:jc w:val="center"/>
              <w:rPr>
                <w:rFonts w:hint="eastAsia" w:ascii="宋体" w:hAnsi="宋体"/>
                <w:b/>
                <w:color w:val="auto"/>
                <w:sz w:val="24"/>
                <w:szCs w:val="24"/>
                <w:highlight w:val="none"/>
              </w:rPr>
            </w:pPr>
            <w:r>
              <w:rPr>
                <w:rFonts w:hint="eastAsia" w:ascii="宋体" w:hAnsi="宋体"/>
                <w:b/>
                <w:color w:val="auto"/>
                <w:sz w:val="24"/>
                <w:szCs w:val="24"/>
                <w:highlight w:val="none"/>
              </w:rPr>
              <w:t>条 款 名 称</w:t>
            </w:r>
          </w:p>
        </w:tc>
        <w:tc>
          <w:tcPr>
            <w:tcW w:w="7317" w:type="dxa"/>
            <w:noWrap w:val="0"/>
            <w:vAlign w:val="center"/>
          </w:tcPr>
          <w:p w14:paraId="1EBDEA88">
            <w:pPr>
              <w:spacing w:line="300" w:lineRule="auto"/>
              <w:jc w:val="center"/>
              <w:rPr>
                <w:rFonts w:hint="eastAsia" w:ascii="宋体" w:hAnsi="宋体"/>
                <w:b/>
                <w:color w:val="auto"/>
                <w:sz w:val="24"/>
                <w:szCs w:val="24"/>
                <w:highlight w:val="none"/>
              </w:rPr>
            </w:pPr>
            <w:r>
              <w:rPr>
                <w:rFonts w:hint="eastAsia" w:ascii="宋体" w:hAnsi="宋体"/>
                <w:b/>
                <w:color w:val="auto"/>
                <w:sz w:val="24"/>
                <w:szCs w:val="24"/>
                <w:highlight w:val="none"/>
              </w:rPr>
              <w:t>编 列 内 容</w:t>
            </w:r>
          </w:p>
        </w:tc>
      </w:tr>
      <w:tr w14:paraId="77735D4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jc w:val="center"/>
        </w:trPr>
        <w:tc>
          <w:tcPr>
            <w:tcW w:w="1111" w:type="dxa"/>
            <w:noWrap w:val="0"/>
            <w:vAlign w:val="center"/>
          </w:tcPr>
          <w:p w14:paraId="3D7C6738">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w:t>
            </w:r>
          </w:p>
        </w:tc>
        <w:tc>
          <w:tcPr>
            <w:tcW w:w="1985" w:type="dxa"/>
            <w:noWrap w:val="0"/>
            <w:vAlign w:val="center"/>
          </w:tcPr>
          <w:p w14:paraId="02434220">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招标人</w:t>
            </w:r>
          </w:p>
        </w:tc>
        <w:tc>
          <w:tcPr>
            <w:tcW w:w="7317" w:type="dxa"/>
            <w:noWrap w:val="0"/>
            <w:vAlign w:val="center"/>
          </w:tcPr>
          <w:p w14:paraId="56A252EF">
            <w:pPr>
              <w:spacing w:line="360" w:lineRule="auto"/>
              <w:rPr>
                <w:rFonts w:hint="eastAsia"/>
                <w:color w:val="auto"/>
                <w:sz w:val="24"/>
                <w:szCs w:val="24"/>
                <w:highlight w:val="none"/>
                <w:lang w:val="zh-CN"/>
              </w:rPr>
            </w:pPr>
            <w:r>
              <w:rPr>
                <w:rFonts w:hint="eastAsia"/>
                <w:color w:val="auto"/>
                <w:sz w:val="24"/>
                <w:szCs w:val="24"/>
                <w:highlight w:val="none"/>
                <w:lang w:val="zh-CN"/>
              </w:rPr>
              <w:t xml:space="preserve">招 标 人：浙江巨化化工矿业有限公司 </w:t>
            </w:r>
          </w:p>
          <w:p w14:paraId="6D406472">
            <w:pPr>
              <w:spacing w:line="300" w:lineRule="auto"/>
              <w:rPr>
                <w:rFonts w:hint="default" w:ascii="宋体" w:hAnsi="宋体"/>
                <w:color w:val="auto"/>
                <w:sz w:val="24"/>
                <w:szCs w:val="24"/>
                <w:highlight w:val="none"/>
                <w:lang w:val="en-US"/>
              </w:rPr>
            </w:pPr>
            <w:r>
              <w:rPr>
                <w:rFonts w:hint="eastAsia"/>
                <w:color w:val="auto"/>
                <w:sz w:val="24"/>
                <w:szCs w:val="24"/>
                <w:highlight w:val="none"/>
                <w:lang w:val="zh-CN"/>
              </w:rPr>
              <w:t>联系人：</w:t>
            </w:r>
            <w:r>
              <w:rPr>
                <w:rFonts w:hint="eastAsia"/>
                <w:color w:val="auto"/>
                <w:sz w:val="24"/>
                <w:szCs w:val="24"/>
                <w:highlight w:val="none"/>
                <w:lang w:val="en-US" w:eastAsia="zh-CN"/>
              </w:rPr>
              <w:t>王良通</w:t>
            </w:r>
            <w:r>
              <w:rPr>
                <w:rFonts w:hint="eastAsia"/>
                <w:color w:val="auto"/>
                <w:sz w:val="24"/>
                <w:szCs w:val="24"/>
                <w:highlight w:val="none"/>
                <w:lang w:val="zh-CN"/>
              </w:rPr>
              <w:t xml:space="preserve"> 联系电话：</w:t>
            </w:r>
            <w:r>
              <w:rPr>
                <w:rFonts w:hint="eastAsia" w:ascii="宋体" w:hAnsi="宋体" w:cs="宋体"/>
                <w:color w:val="auto"/>
                <w:sz w:val="24"/>
                <w:szCs w:val="24"/>
                <w:highlight w:val="none"/>
                <w:lang w:val="en-US" w:eastAsia="zh-CN"/>
              </w:rPr>
              <w:t>13575684685</w:t>
            </w:r>
          </w:p>
        </w:tc>
      </w:tr>
      <w:tr w14:paraId="5D860CE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jc w:val="center"/>
        </w:trPr>
        <w:tc>
          <w:tcPr>
            <w:tcW w:w="1111" w:type="dxa"/>
            <w:noWrap w:val="0"/>
            <w:vAlign w:val="center"/>
          </w:tcPr>
          <w:p w14:paraId="392713B7">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w:t>
            </w:r>
          </w:p>
        </w:tc>
        <w:tc>
          <w:tcPr>
            <w:tcW w:w="1985" w:type="dxa"/>
            <w:noWrap w:val="0"/>
            <w:vAlign w:val="center"/>
          </w:tcPr>
          <w:p w14:paraId="3FAB8D52">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招标代理机构</w:t>
            </w:r>
          </w:p>
        </w:tc>
        <w:tc>
          <w:tcPr>
            <w:tcW w:w="7317" w:type="dxa"/>
            <w:noWrap w:val="0"/>
            <w:vAlign w:val="center"/>
          </w:tcPr>
          <w:p w14:paraId="5EAA5D44">
            <w:pPr>
              <w:spacing w:line="360" w:lineRule="auto"/>
              <w:rPr>
                <w:rFonts w:hint="eastAsia"/>
                <w:color w:val="auto"/>
                <w:sz w:val="24"/>
                <w:szCs w:val="24"/>
                <w:highlight w:val="none"/>
                <w:lang w:val="zh-CN"/>
              </w:rPr>
            </w:pPr>
            <w:r>
              <w:rPr>
                <w:rFonts w:hint="eastAsia"/>
                <w:color w:val="auto"/>
                <w:sz w:val="24"/>
                <w:szCs w:val="24"/>
                <w:highlight w:val="none"/>
                <w:lang w:val="zh-CN"/>
              </w:rPr>
              <w:t>招标代理机构：浙江南方工程咨询管理有限公司</w:t>
            </w:r>
          </w:p>
          <w:p w14:paraId="35E10384">
            <w:pPr>
              <w:spacing w:line="300" w:lineRule="auto"/>
              <w:rPr>
                <w:rFonts w:hint="eastAsia" w:ascii="宋体" w:hAnsi="宋体"/>
                <w:color w:val="auto"/>
                <w:sz w:val="24"/>
                <w:szCs w:val="24"/>
                <w:highlight w:val="none"/>
              </w:rPr>
            </w:pPr>
            <w:r>
              <w:rPr>
                <w:rFonts w:hint="eastAsia"/>
                <w:color w:val="auto"/>
                <w:sz w:val="24"/>
                <w:szCs w:val="24"/>
                <w:highlight w:val="none"/>
                <w:lang w:val="zh-CN"/>
              </w:rPr>
              <w:t>联 系 人：</w:t>
            </w:r>
            <w:r>
              <w:rPr>
                <w:rFonts w:hint="eastAsia"/>
                <w:color w:val="auto"/>
                <w:sz w:val="24"/>
                <w:szCs w:val="24"/>
                <w:highlight w:val="none"/>
              </w:rPr>
              <w:t>王靓</w:t>
            </w:r>
            <w:r>
              <w:rPr>
                <w:rFonts w:hint="eastAsia"/>
                <w:color w:val="auto"/>
                <w:sz w:val="24"/>
                <w:szCs w:val="24"/>
                <w:highlight w:val="none"/>
                <w:lang w:val="zh-CN"/>
              </w:rPr>
              <w:t xml:space="preserve"> </w:t>
            </w:r>
            <w:r>
              <w:rPr>
                <w:rFonts w:hint="eastAsia"/>
                <w:color w:val="auto"/>
                <w:sz w:val="24"/>
                <w:szCs w:val="24"/>
                <w:highlight w:val="none"/>
              </w:rPr>
              <w:t xml:space="preserve">  </w:t>
            </w:r>
            <w:r>
              <w:rPr>
                <w:rFonts w:hint="eastAsia"/>
                <w:color w:val="auto"/>
                <w:sz w:val="24"/>
                <w:szCs w:val="24"/>
                <w:highlight w:val="none"/>
                <w:lang w:val="zh-CN"/>
              </w:rPr>
              <w:t>联系电话：</w:t>
            </w:r>
            <w:r>
              <w:rPr>
                <w:rFonts w:hint="eastAsia"/>
                <w:color w:val="auto"/>
                <w:sz w:val="24"/>
                <w:szCs w:val="24"/>
                <w:highlight w:val="none"/>
              </w:rPr>
              <w:t xml:space="preserve"> 13059721359</w:t>
            </w:r>
            <w:r>
              <w:rPr>
                <w:rFonts w:hint="eastAsia"/>
                <w:color w:val="auto"/>
                <w:sz w:val="24"/>
                <w:szCs w:val="24"/>
                <w:highlight w:val="none"/>
                <w:lang w:val="zh-CN"/>
              </w:rPr>
              <w:t>（58</w:t>
            </w:r>
            <w:r>
              <w:rPr>
                <w:rFonts w:hint="eastAsia"/>
                <w:color w:val="auto"/>
                <w:sz w:val="24"/>
                <w:szCs w:val="24"/>
                <w:highlight w:val="none"/>
              </w:rPr>
              <w:t>5525</w:t>
            </w:r>
            <w:r>
              <w:rPr>
                <w:rFonts w:hint="eastAsia"/>
                <w:color w:val="auto"/>
                <w:sz w:val="24"/>
                <w:szCs w:val="24"/>
                <w:highlight w:val="none"/>
                <w:lang w:val="zh-CN"/>
              </w:rPr>
              <w:t>）</w:t>
            </w:r>
          </w:p>
        </w:tc>
      </w:tr>
      <w:tr w14:paraId="71DD4A4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61" w:hRule="atLeast"/>
          <w:jc w:val="center"/>
        </w:trPr>
        <w:tc>
          <w:tcPr>
            <w:tcW w:w="1111" w:type="dxa"/>
            <w:noWrap w:val="0"/>
            <w:vAlign w:val="center"/>
          </w:tcPr>
          <w:p w14:paraId="69EBCE5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3</w:t>
            </w:r>
          </w:p>
        </w:tc>
        <w:tc>
          <w:tcPr>
            <w:tcW w:w="1985" w:type="dxa"/>
            <w:noWrap w:val="0"/>
            <w:vAlign w:val="center"/>
          </w:tcPr>
          <w:p w14:paraId="4E6590C0">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项目名称</w:t>
            </w:r>
          </w:p>
        </w:tc>
        <w:tc>
          <w:tcPr>
            <w:tcW w:w="7317" w:type="dxa"/>
            <w:noWrap w:val="0"/>
            <w:vAlign w:val="center"/>
          </w:tcPr>
          <w:p w14:paraId="6E4D8C92">
            <w:pPr>
              <w:spacing w:line="300" w:lineRule="auto"/>
              <w:rPr>
                <w:rFonts w:hint="eastAsia" w:ascii="宋体" w:hAnsi="宋体" w:eastAsia="宋体"/>
                <w:color w:val="auto"/>
                <w:sz w:val="24"/>
                <w:szCs w:val="24"/>
                <w:highlight w:val="none"/>
                <w:lang w:eastAsia="zh-CN"/>
              </w:rPr>
            </w:pPr>
            <w:r>
              <w:rPr>
                <w:rFonts w:hint="eastAsia"/>
                <w:color w:val="auto"/>
                <w:sz w:val="24"/>
                <w:szCs w:val="24"/>
                <w:highlight w:val="none"/>
                <w:lang w:eastAsia="zh-CN"/>
              </w:rPr>
              <w:t>浙江巨化化工矿业有限公司后塘弄尾矿库闭库及恢复林业生产条件和森林覆盖项目</w:t>
            </w:r>
          </w:p>
        </w:tc>
      </w:tr>
      <w:tr w14:paraId="5C4BB05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61" w:hRule="atLeast"/>
          <w:jc w:val="center"/>
        </w:trPr>
        <w:tc>
          <w:tcPr>
            <w:tcW w:w="1111" w:type="dxa"/>
            <w:noWrap w:val="0"/>
            <w:vAlign w:val="center"/>
          </w:tcPr>
          <w:p w14:paraId="31627AAC">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4</w:t>
            </w:r>
          </w:p>
        </w:tc>
        <w:tc>
          <w:tcPr>
            <w:tcW w:w="1985" w:type="dxa"/>
            <w:noWrap w:val="0"/>
            <w:vAlign w:val="center"/>
          </w:tcPr>
          <w:p w14:paraId="65D1B5DD">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建设地点</w:t>
            </w:r>
          </w:p>
        </w:tc>
        <w:tc>
          <w:tcPr>
            <w:tcW w:w="7317" w:type="dxa"/>
            <w:noWrap w:val="0"/>
            <w:vAlign w:val="center"/>
          </w:tcPr>
          <w:p w14:paraId="15A04FF7">
            <w:pPr>
              <w:spacing w:line="300" w:lineRule="auto"/>
              <w:rPr>
                <w:rFonts w:hint="eastAsia" w:ascii="宋体" w:hAnsi="宋体"/>
                <w:color w:val="auto"/>
                <w:sz w:val="24"/>
                <w:szCs w:val="24"/>
                <w:highlight w:val="none"/>
              </w:rPr>
            </w:pPr>
            <w:r>
              <w:rPr>
                <w:rFonts w:hint="eastAsia" w:ascii="宋体" w:hAnsi="宋体" w:cs="宋体"/>
                <w:color w:val="auto"/>
                <w:sz w:val="24"/>
                <w:szCs w:val="24"/>
                <w:highlight w:val="none"/>
                <w:lang w:val="zh-CN"/>
              </w:rPr>
              <w:t>龙游县溪口镇灵山村后塘弄</w:t>
            </w:r>
          </w:p>
        </w:tc>
      </w:tr>
      <w:tr w14:paraId="51F8692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61" w:hRule="atLeast"/>
          <w:jc w:val="center"/>
        </w:trPr>
        <w:tc>
          <w:tcPr>
            <w:tcW w:w="1111" w:type="dxa"/>
            <w:noWrap w:val="0"/>
            <w:vAlign w:val="center"/>
          </w:tcPr>
          <w:p w14:paraId="62AABC17">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5</w:t>
            </w:r>
          </w:p>
        </w:tc>
        <w:tc>
          <w:tcPr>
            <w:tcW w:w="1985" w:type="dxa"/>
            <w:noWrap w:val="0"/>
            <w:vAlign w:val="center"/>
          </w:tcPr>
          <w:p w14:paraId="35D1BF4A">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资金来源</w:t>
            </w:r>
          </w:p>
        </w:tc>
        <w:tc>
          <w:tcPr>
            <w:tcW w:w="7317" w:type="dxa"/>
            <w:noWrap w:val="0"/>
            <w:vAlign w:val="center"/>
          </w:tcPr>
          <w:p w14:paraId="149B1DCE">
            <w:pPr>
              <w:spacing w:line="300" w:lineRule="auto"/>
              <w:rPr>
                <w:rFonts w:hint="default" w:ascii="宋体" w:hAnsi="宋体" w:eastAsia="宋体"/>
                <w:color w:val="auto"/>
                <w:sz w:val="24"/>
                <w:szCs w:val="24"/>
                <w:highlight w:val="none"/>
                <w:lang w:val="en-US" w:eastAsia="zh-CN"/>
              </w:rPr>
            </w:pPr>
            <w:r>
              <w:rPr>
                <w:rFonts w:hint="default" w:ascii="宋体" w:hAnsi="宋体" w:eastAsia="宋体"/>
                <w:color w:val="auto"/>
                <w:sz w:val="24"/>
                <w:szCs w:val="24"/>
                <w:highlight w:val="none"/>
                <w:lang w:val="en-US" w:eastAsia="zh-CN"/>
              </w:rPr>
              <w:t>政府补贴和企业自筹资金</w:t>
            </w:r>
          </w:p>
        </w:tc>
      </w:tr>
      <w:tr w14:paraId="0CA2F7E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61" w:hRule="atLeast"/>
          <w:jc w:val="center"/>
        </w:trPr>
        <w:tc>
          <w:tcPr>
            <w:tcW w:w="1111" w:type="dxa"/>
            <w:noWrap w:val="0"/>
            <w:vAlign w:val="center"/>
          </w:tcPr>
          <w:p w14:paraId="6592305D">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6</w:t>
            </w:r>
          </w:p>
        </w:tc>
        <w:tc>
          <w:tcPr>
            <w:tcW w:w="1985" w:type="dxa"/>
            <w:noWrap w:val="0"/>
            <w:vAlign w:val="center"/>
          </w:tcPr>
          <w:p w14:paraId="14089AA4">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出资比例</w:t>
            </w:r>
          </w:p>
        </w:tc>
        <w:tc>
          <w:tcPr>
            <w:tcW w:w="7317" w:type="dxa"/>
            <w:noWrap w:val="0"/>
            <w:vAlign w:val="center"/>
          </w:tcPr>
          <w:p w14:paraId="66AC824D">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100%</w:t>
            </w:r>
          </w:p>
        </w:tc>
      </w:tr>
      <w:tr w14:paraId="3740623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61" w:hRule="atLeast"/>
          <w:jc w:val="center"/>
        </w:trPr>
        <w:tc>
          <w:tcPr>
            <w:tcW w:w="1111" w:type="dxa"/>
            <w:noWrap w:val="0"/>
            <w:vAlign w:val="center"/>
          </w:tcPr>
          <w:p w14:paraId="2D27A834">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7</w:t>
            </w:r>
          </w:p>
        </w:tc>
        <w:tc>
          <w:tcPr>
            <w:tcW w:w="1985" w:type="dxa"/>
            <w:noWrap w:val="0"/>
            <w:vAlign w:val="center"/>
          </w:tcPr>
          <w:p w14:paraId="673B5A85">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资金落实情况</w:t>
            </w:r>
          </w:p>
        </w:tc>
        <w:tc>
          <w:tcPr>
            <w:tcW w:w="7317" w:type="dxa"/>
            <w:noWrap w:val="0"/>
            <w:vAlign w:val="center"/>
          </w:tcPr>
          <w:p w14:paraId="5E680323">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已落实</w:t>
            </w:r>
          </w:p>
        </w:tc>
      </w:tr>
      <w:tr w14:paraId="5AC3B41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jc w:val="center"/>
        </w:trPr>
        <w:tc>
          <w:tcPr>
            <w:tcW w:w="1111" w:type="dxa"/>
            <w:noWrap w:val="0"/>
            <w:vAlign w:val="center"/>
          </w:tcPr>
          <w:p w14:paraId="4140193D">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8</w:t>
            </w:r>
          </w:p>
        </w:tc>
        <w:tc>
          <w:tcPr>
            <w:tcW w:w="1985" w:type="dxa"/>
            <w:noWrap w:val="0"/>
            <w:vAlign w:val="center"/>
          </w:tcPr>
          <w:p w14:paraId="36F22883">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招标范围</w:t>
            </w:r>
          </w:p>
        </w:tc>
        <w:tc>
          <w:tcPr>
            <w:tcW w:w="7317" w:type="dxa"/>
            <w:noWrap w:val="0"/>
            <w:vAlign w:val="center"/>
          </w:tcPr>
          <w:p w14:paraId="31F4BFC0">
            <w:pPr>
              <w:snapToGrid w:val="0"/>
              <w:spacing w:line="44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对初期坝进行压坡加固和增设水平排渗孔，调整堆积坝高度和外坡比；开展滩面整治，包括开挖回填、监测评估、覆土绿化及合理安排排水工程施工顺序；封堵原排洪系统并设置地表永久排水沟、修复库周截水沟；进行周边环境治理与维护，包括修复地形地貌、植被恢复、铺设防渗膜覆土绿化、设置安全护栏和维护坡面</w:t>
            </w:r>
            <w:r>
              <w:rPr>
                <w:rFonts w:hint="eastAsia" w:ascii="宋体" w:hAnsi="宋体"/>
                <w:color w:val="auto"/>
                <w:sz w:val="24"/>
                <w:szCs w:val="24"/>
                <w:highlight w:val="none"/>
                <w:lang w:eastAsia="zh-CN"/>
              </w:rPr>
              <w:t>，</w:t>
            </w:r>
            <w:r>
              <w:rPr>
                <w:rFonts w:hint="eastAsia" w:ascii="宋体" w:hAnsi="宋体"/>
                <w:color w:val="auto"/>
                <w:sz w:val="24"/>
                <w:szCs w:val="24"/>
                <w:highlight w:val="none"/>
              </w:rPr>
              <w:t>涉及从施工</w:t>
            </w:r>
            <w:r>
              <w:rPr>
                <w:rFonts w:hint="eastAsia" w:ascii="宋体" w:hAnsi="宋体"/>
                <w:color w:val="auto"/>
                <w:sz w:val="24"/>
                <w:szCs w:val="24"/>
                <w:highlight w:val="none"/>
                <w:lang w:val="en-US" w:eastAsia="zh-CN"/>
              </w:rPr>
              <w:t>到</w:t>
            </w:r>
            <w:r>
              <w:rPr>
                <w:rFonts w:hint="eastAsia" w:ascii="宋体" w:hAnsi="宋体"/>
                <w:color w:val="auto"/>
                <w:sz w:val="24"/>
                <w:szCs w:val="24"/>
                <w:highlight w:val="none"/>
              </w:rPr>
              <w:t>设备采购安装调试及验收的全过程工作。</w:t>
            </w:r>
          </w:p>
        </w:tc>
      </w:tr>
      <w:tr w14:paraId="37ECADC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jc w:val="center"/>
        </w:trPr>
        <w:tc>
          <w:tcPr>
            <w:tcW w:w="1111" w:type="dxa"/>
            <w:noWrap w:val="0"/>
            <w:vAlign w:val="center"/>
          </w:tcPr>
          <w:p w14:paraId="1071A68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9</w:t>
            </w:r>
          </w:p>
        </w:tc>
        <w:tc>
          <w:tcPr>
            <w:tcW w:w="1985" w:type="dxa"/>
            <w:noWrap w:val="0"/>
            <w:vAlign w:val="center"/>
          </w:tcPr>
          <w:p w14:paraId="305D516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工期要求</w:t>
            </w:r>
          </w:p>
        </w:tc>
        <w:tc>
          <w:tcPr>
            <w:tcW w:w="7317" w:type="dxa"/>
            <w:noWrap w:val="0"/>
            <w:vAlign w:val="center"/>
          </w:tcPr>
          <w:p w14:paraId="3EE4374A">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ascii="宋体" w:hAnsi="宋体"/>
                <w:color w:val="auto"/>
                <w:sz w:val="24"/>
                <w:szCs w:val="24"/>
                <w:highlight w:val="none"/>
              </w:rPr>
            </w:pPr>
            <w:r>
              <w:rPr>
                <w:rFonts w:hint="eastAsia" w:ascii="宋体" w:hAnsi="宋体"/>
                <w:color w:val="auto"/>
                <w:sz w:val="24"/>
                <w:szCs w:val="24"/>
                <w:highlight w:val="none"/>
              </w:rPr>
              <w:t xml:space="preserve">本项目要求施工单位在 2025 年 </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月完成进场准备，</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月</w:t>
            </w:r>
            <w:r>
              <w:rPr>
                <w:rFonts w:hint="eastAsia" w:ascii="宋体" w:hAnsi="宋体"/>
                <w:color w:val="auto"/>
                <w:sz w:val="24"/>
                <w:szCs w:val="24"/>
                <w:highlight w:val="none"/>
                <w:lang w:val="en-US" w:eastAsia="zh-CN"/>
              </w:rPr>
              <w:t>底</w:t>
            </w:r>
            <w:r>
              <w:rPr>
                <w:rFonts w:hint="eastAsia" w:ascii="宋体" w:hAnsi="宋体"/>
                <w:color w:val="auto"/>
                <w:sz w:val="24"/>
                <w:szCs w:val="24"/>
                <w:highlight w:val="none"/>
              </w:rPr>
              <w:t>正式开工建设浙江巨化化工矿业有限公司后塘弄尾矿库闭库工程，施工内容涵盖多项分部分项工程，施工中要按既定顺序推进并紧密衔接。202</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 xml:space="preserve"> 年 </w:t>
            </w:r>
            <w:r>
              <w:rPr>
                <w:rFonts w:hint="eastAsia" w:ascii="宋体" w:hAnsi="宋体"/>
                <w:color w:val="auto"/>
                <w:sz w:val="24"/>
                <w:szCs w:val="24"/>
                <w:highlight w:val="none"/>
                <w:lang w:val="en-US" w:eastAsia="zh-CN"/>
              </w:rPr>
              <w:t>12</w:t>
            </w:r>
            <w:r>
              <w:rPr>
                <w:rFonts w:hint="eastAsia" w:ascii="宋体" w:hAnsi="宋体"/>
                <w:color w:val="auto"/>
                <w:sz w:val="24"/>
                <w:szCs w:val="24"/>
                <w:highlight w:val="none"/>
              </w:rPr>
              <w:t>月底前完成全部治理工程且确保质量符合相关规范标准，</w:t>
            </w:r>
            <w:r>
              <w:rPr>
                <w:rFonts w:hint="eastAsia" w:ascii="宋体" w:hAnsi="宋体"/>
                <w:color w:val="auto"/>
                <w:sz w:val="24"/>
                <w:szCs w:val="24"/>
                <w:highlight w:val="none"/>
                <w:lang w:val="en-US" w:eastAsia="zh-CN"/>
              </w:rPr>
              <w:t>2025年</w:t>
            </w:r>
            <w:r>
              <w:rPr>
                <w:rFonts w:hint="eastAsia" w:ascii="宋体" w:hAnsi="宋体"/>
                <w:color w:val="auto"/>
                <w:sz w:val="24"/>
                <w:szCs w:val="24"/>
                <w:highlight w:val="none"/>
              </w:rPr>
              <w:t>底前配合完成尾矿库销号工作。施工期间需制定并提交施工进度计划和每月进度报告，若因自身原因导致工期延误，需承担违约责任。</w:t>
            </w:r>
          </w:p>
        </w:tc>
      </w:tr>
      <w:tr w14:paraId="399B0D2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562" w:hRule="atLeast"/>
          <w:jc w:val="center"/>
        </w:trPr>
        <w:tc>
          <w:tcPr>
            <w:tcW w:w="1111" w:type="dxa"/>
            <w:noWrap w:val="0"/>
            <w:vAlign w:val="center"/>
          </w:tcPr>
          <w:p w14:paraId="6F20809A">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10</w:t>
            </w:r>
          </w:p>
        </w:tc>
        <w:tc>
          <w:tcPr>
            <w:tcW w:w="1985" w:type="dxa"/>
            <w:noWrap w:val="0"/>
            <w:vAlign w:val="center"/>
          </w:tcPr>
          <w:p w14:paraId="1CD45DDC">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工程质量要求</w:t>
            </w:r>
          </w:p>
        </w:tc>
        <w:tc>
          <w:tcPr>
            <w:tcW w:w="7317" w:type="dxa"/>
            <w:noWrap w:val="0"/>
            <w:vAlign w:val="center"/>
          </w:tcPr>
          <w:p w14:paraId="648D5A4F">
            <w:pPr>
              <w:keepNext w:val="0"/>
              <w:keepLines w:val="0"/>
              <w:pageBreakBefore w:val="0"/>
              <w:widowControl w:val="0"/>
              <w:kinsoku/>
              <w:wordWrap/>
              <w:overflowPunct/>
              <w:topLinePunct w:val="0"/>
              <w:autoSpaceDE/>
              <w:autoSpaceDN/>
              <w:bidi w:val="0"/>
              <w:adjustRightInd/>
              <w:snapToGrid w:val="0"/>
              <w:spacing w:line="440" w:lineRule="exact"/>
              <w:ind w:firstLine="480" w:firstLineChars="200"/>
              <w:textAlignment w:val="auto"/>
              <w:rPr>
                <w:rFonts w:hint="eastAsia" w:ascii="宋体" w:hAnsi="宋体"/>
                <w:color w:val="auto"/>
                <w:sz w:val="24"/>
                <w:szCs w:val="24"/>
                <w:highlight w:val="none"/>
              </w:rPr>
            </w:pPr>
            <w:r>
              <w:rPr>
                <w:rFonts w:ascii="Segoe UI" w:hAnsi="Segoe UI" w:eastAsia="Segoe UI" w:cs="Segoe UI"/>
                <w:i w:val="0"/>
                <w:iCs w:val="0"/>
                <w:caps w:val="0"/>
                <w:spacing w:val="0"/>
                <w:sz w:val="24"/>
                <w:szCs w:val="24"/>
                <w:highlight w:val="none"/>
                <w:shd w:val="clear" w:fill="F9FAFB"/>
              </w:rPr>
              <w:t>浙江巨化化工矿业有限公司后塘弄尾矿库闭库工程质量要求严格，需遵循《尾矿设施设计规范》《尾矿库安全规程》等相关标准规范进行设计施工。各分项工程质量标准明确，坝体工程对石料、碾压及排渗管参数有规定；滩面整治工程按设计坡度开挖回填并控制压实度；防排洪系统工程的排洪设施、封堵及截水沟修复有具体要求；覆土绿化工程规定了覆土厚度、压实度和草籽标准。施工过程中，施工单位要建立质量管理体系，做好各项记录，保证材料、构配件和设备达标。工程验收参考特定规范执行，达标后方可通过。</w:t>
            </w:r>
          </w:p>
        </w:tc>
      </w:tr>
      <w:tr w14:paraId="41A8FA4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776" w:hRule="atLeast"/>
          <w:jc w:val="center"/>
        </w:trPr>
        <w:tc>
          <w:tcPr>
            <w:tcW w:w="1111" w:type="dxa"/>
            <w:noWrap w:val="0"/>
            <w:vAlign w:val="center"/>
          </w:tcPr>
          <w:p w14:paraId="4C2D09E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11</w:t>
            </w:r>
          </w:p>
        </w:tc>
        <w:tc>
          <w:tcPr>
            <w:tcW w:w="1985" w:type="dxa"/>
            <w:noWrap w:val="0"/>
            <w:vAlign w:val="center"/>
          </w:tcPr>
          <w:p w14:paraId="774EAC7E">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投标人资格要求</w:t>
            </w:r>
          </w:p>
        </w:tc>
        <w:tc>
          <w:tcPr>
            <w:tcW w:w="7317" w:type="dxa"/>
            <w:noWrap w:val="0"/>
            <w:vAlign w:val="center"/>
          </w:tcPr>
          <w:p w14:paraId="2CF4C57A">
            <w:pPr>
              <w:tabs>
                <w:tab w:val="left" w:pos="7920"/>
                <w:tab w:val="left" w:pos="8100"/>
              </w:tabs>
              <w:spacing w:line="300" w:lineRule="auto"/>
              <w:rPr>
                <w:rFonts w:hint="eastAsia" w:ascii="宋体" w:hAnsi="宋体"/>
                <w:color w:val="auto"/>
                <w:sz w:val="24"/>
                <w:szCs w:val="24"/>
                <w:highlight w:val="none"/>
              </w:rPr>
            </w:pPr>
            <w:r>
              <w:rPr>
                <w:rFonts w:hint="eastAsia" w:ascii="宋体" w:hAnsi="宋体"/>
                <w:color w:val="auto"/>
                <w:sz w:val="24"/>
                <w:szCs w:val="24"/>
                <w:highlight w:val="none"/>
              </w:rPr>
              <w:t>见招标公告</w:t>
            </w:r>
          </w:p>
        </w:tc>
      </w:tr>
      <w:tr w14:paraId="76EBB9B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731" w:hRule="atLeast"/>
          <w:tblHeader/>
          <w:jc w:val="center"/>
        </w:trPr>
        <w:tc>
          <w:tcPr>
            <w:tcW w:w="1111" w:type="dxa"/>
            <w:noWrap w:val="0"/>
            <w:vAlign w:val="center"/>
          </w:tcPr>
          <w:p w14:paraId="5F1CD50C">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12</w:t>
            </w:r>
          </w:p>
        </w:tc>
        <w:tc>
          <w:tcPr>
            <w:tcW w:w="1985" w:type="dxa"/>
            <w:noWrap w:val="0"/>
            <w:vAlign w:val="center"/>
          </w:tcPr>
          <w:p w14:paraId="21824464">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是否接受联合体投标</w:t>
            </w:r>
          </w:p>
        </w:tc>
        <w:tc>
          <w:tcPr>
            <w:tcW w:w="7317" w:type="dxa"/>
            <w:noWrap w:val="0"/>
            <w:vAlign w:val="center"/>
          </w:tcPr>
          <w:p w14:paraId="0AEFCF52">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 不接受</w:t>
            </w:r>
          </w:p>
          <w:p w14:paraId="0189B3B9">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接受</w:t>
            </w:r>
          </w:p>
        </w:tc>
      </w:tr>
      <w:tr w14:paraId="04296F1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927" w:hRule="atLeast"/>
          <w:tblHeader/>
          <w:jc w:val="center"/>
        </w:trPr>
        <w:tc>
          <w:tcPr>
            <w:tcW w:w="1111" w:type="dxa"/>
            <w:noWrap w:val="0"/>
            <w:vAlign w:val="center"/>
          </w:tcPr>
          <w:p w14:paraId="6095A490">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13</w:t>
            </w:r>
          </w:p>
        </w:tc>
        <w:tc>
          <w:tcPr>
            <w:tcW w:w="1985" w:type="dxa"/>
            <w:noWrap w:val="0"/>
            <w:vAlign w:val="center"/>
          </w:tcPr>
          <w:p w14:paraId="68A5C2CB">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踏勘现场</w:t>
            </w:r>
          </w:p>
        </w:tc>
        <w:tc>
          <w:tcPr>
            <w:tcW w:w="7317" w:type="dxa"/>
            <w:noWrap w:val="0"/>
            <w:vAlign w:val="center"/>
          </w:tcPr>
          <w:p w14:paraId="043FC96C">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 xml:space="preserve">√不统一组织 （投标人自行前往但须对由此产生的费用及风险负全部责任） </w:t>
            </w:r>
          </w:p>
          <w:p w14:paraId="110D8C30">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□组织</w:t>
            </w:r>
          </w:p>
          <w:p w14:paraId="011C42FB">
            <w:pPr>
              <w:spacing w:line="300" w:lineRule="auto"/>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rPr>
              <w:t>说明：投标人须自行前往矿区踏勘了解工程施工地点及难度后再进行报价</w:t>
            </w:r>
            <w:r>
              <w:rPr>
                <w:rFonts w:hint="eastAsia" w:ascii="宋体" w:hAnsi="宋体"/>
                <w:b/>
                <w:color w:val="auto"/>
                <w:sz w:val="24"/>
                <w:szCs w:val="24"/>
                <w:highlight w:val="none"/>
                <w:lang w:eastAsia="zh-CN"/>
              </w:rPr>
              <w:t>。</w:t>
            </w:r>
          </w:p>
          <w:p w14:paraId="1DA0505E">
            <w:pPr>
              <w:spacing w:line="300" w:lineRule="auto"/>
              <w:rPr>
                <w:rFonts w:hint="eastAsia" w:ascii="宋体" w:hAnsi="宋体"/>
                <w:b/>
                <w:color w:val="auto"/>
                <w:sz w:val="24"/>
                <w:szCs w:val="24"/>
                <w:highlight w:val="none"/>
              </w:rPr>
            </w:pPr>
            <w:r>
              <w:rPr>
                <w:rFonts w:hint="eastAsia" w:ascii="宋体" w:hAnsi="宋体"/>
                <w:b/>
                <w:color w:val="auto"/>
                <w:sz w:val="24"/>
                <w:szCs w:val="24"/>
                <w:highlight w:val="none"/>
              </w:rPr>
              <w:t>在踏勘现场中的工程场地和相关的周边环境情况，供投标人在编制投标文件时参考，招标人不对投标人据此作出的判断和决策负责。</w:t>
            </w:r>
          </w:p>
          <w:p w14:paraId="7D4B76C1">
            <w:pPr>
              <w:spacing w:line="300" w:lineRule="auto"/>
              <w:rPr>
                <w:rFonts w:hint="eastAsia"/>
                <w:color w:val="auto"/>
                <w:sz w:val="24"/>
                <w:szCs w:val="24"/>
                <w:highlight w:val="none"/>
              </w:rPr>
            </w:pPr>
            <w:r>
              <w:rPr>
                <w:rFonts w:hint="eastAsia" w:ascii="宋体" w:hAnsi="宋体"/>
                <w:b/>
                <w:color w:val="auto"/>
                <w:sz w:val="24"/>
                <w:szCs w:val="24"/>
                <w:highlight w:val="none"/>
              </w:rPr>
              <w:t>踏勘期间发生的费用或意外导致伤亡等一切责任和损失均由投标人自负。</w:t>
            </w:r>
          </w:p>
        </w:tc>
      </w:tr>
      <w:tr w14:paraId="1694D6E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772" w:hRule="atLeast"/>
          <w:tblHeader/>
          <w:jc w:val="center"/>
        </w:trPr>
        <w:tc>
          <w:tcPr>
            <w:tcW w:w="1111" w:type="dxa"/>
            <w:noWrap w:val="0"/>
            <w:vAlign w:val="center"/>
          </w:tcPr>
          <w:p w14:paraId="6F2BF73E">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14</w:t>
            </w:r>
          </w:p>
        </w:tc>
        <w:tc>
          <w:tcPr>
            <w:tcW w:w="1985" w:type="dxa"/>
            <w:noWrap w:val="0"/>
            <w:vAlign w:val="center"/>
          </w:tcPr>
          <w:p w14:paraId="2206D15B">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投标预备会</w:t>
            </w:r>
          </w:p>
        </w:tc>
        <w:tc>
          <w:tcPr>
            <w:tcW w:w="7317" w:type="dxa"/>
            <w:noWrap w:val="0"/>
            <w:vAlign w:val="center"/>
          </w:tcPr>
          <w:p w14:paraId="23285CC4">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√不召开</w:t>
            </w:r>
          </w:p>
          <w:p w14:paraId="127F0EE6">
            <w:pPr>
              <w:spacing w:line="300" w:lineRule="auto"/>
              <w:rPr>
                <w:rFonts w:hint="eastAsia" w:ascii="宋体" w:hAnsi="宋体"/>
                <w:color w:val="auto"/>
                <w:sz w:val="24"/>
                <w:szCs w:val="24"/>
                <w:highlight w:val="none"/>
              </w:rPr>
            </w:pPr>
            <w:r>
              <w:rPr>
                <w:rFonts w:hint="eastAsia" w:ascii="宋体" w:hAnsi="宋体"/>
                <w:color w:val="auto"/>
                <w:sz w:val="24"/>
                <w:szCs w:val="24"/>
                <w:highlight w:val="none"/>
                <w:lang w:eastAsia="zh-CN"/>
              </w:rPr>
              <w:t>□</w:t>
            </w:r>
            <w:r>
              <w:rPr>
                <w:rFonts w:hint="eastAsia" w:ascii="宋体" w:hAnsi="宋体"/>
                <w:color w:val="auto"/>
                <w:sz w:val="24"/>
                <w:szCs w:val="24"/>
                <w:highlight w:val="none"/>
              </w:rPr>
              <w:t>召开，召开时间：        召开地点：</w:t>
            </w:r>
          </w:p>
        </w:tc>
      </w:tr>
      <w:tr w14:paraId="15511C7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962" w:hRule="exact"/>
          <w:tblHeader/>
          <w:jc w:val="center"/>
        </w:trPr>
        <w:tc>
          <w:tcPr>
            <w:tcW w:w="1111" w:type="dxa"/>
            <w:noWrap w:val="0"/>
            <w:vAlign w:val="center"/>
          </w:tcPr>
          <w:p w14:paraId="2B26217B">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15</w:t>
            </w:r>
          </w:p>
        </w:tc>
        <w:tc>
          <w:tcPr>
            <w:tcW w:w="1985" w:type="dxa"/>
            <w:noWrap w:val="0"/>
            <w:vAlign w:val="center"/>
          </w:tcPr>
          <w:p w14:paraId="775A0F14">
            <w:pPr>
              <w:jc w:val="center"/>
              <w:rPr>
                <w:rFonts w:hint="eastAsia" w:ascii="宋体" w:hAnsi="宋体"/>
                <w:color w:val="auto"/>
                <w:sz w:val="24"/>
                <w:szCs w:val="24"/>
                <w:highlight w:val="none"/>
              </w:rPr>
            </w:pPr>
            <w:r>
              <w:rPr>
                <w:rFonts w:hint="eastAsia" w:ascii="宋体" w:hAnsi="宋体"/>
                <w:color w:val="auto"/>
                <w:sz w:val="24"/>
                <w:szCs w:val="24"/>
                <w:highlight w:val="none"/>
              </w:rPr>
              <w:t>招标人澄清或修改招标文件的时间</w:t>
            </w:r>
          </w:p>
        </w:tc>
        <w:tc>
          <w:tcPr>
            <w:tcW w:w="7317" w:type="dxa"/>
            <w:noWrap w:val="0"/>
            <w:vAlign w:val="center"/>
          </w:tcPr>
          <w:p w14:paraId="28DB8F18">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投标截止时间15日前</w:t>
            </w:r>
          </w:p>
        </w:tc>
      </w:tr>
      <w:tr w14:paraId="2973795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864" w:hRule="atLeast"/>
          <w:tblHeader/>
          <w:jc w:val="center"/>
        </w:trPr>
        <w:tc>
          <w:tcPr>
            <w:tcW w:w="1111" w:type="dxa"/>
            <w:noWrap w:val="0"/>
            <w:vAlign w:val="center"/>
          </w:tcPr>
          <w:p w14:paraId="79E084E7">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16</w:t>
            </w:r>
          </w:p>
        </w:tc>
        <w:tc>
          <w:tcPr>
            <w:tcW w:w="1985" w:type="dxa"/>
            <w:noWrap w:val="0"/>
            <w:vAlign w:val="center"/>
          </w:tcPr>
          <w:p w14:paraId="09083DA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分包</w:t>
            </w:r>
          </w:p>
        </w:tc>
        <w:tc>
          <w:tcPr>
            <w:tcW w:w="7317" w:type="dxa"/>
            <w:noWrap w:val="0"/>
            <w:vAlign w:val="center"/>
          </w:tcPr>
          <w:p w14:paraId="05136E52">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 不允许</w:t>
            </w:r>
          </w:p>
          <w:p w14:paraId="410B14E5">
            <w:pPr>
              <w:numPr>
                <w:ilvl w:val="0"/>
                <w:numId w:val="2"/>
              </w:num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允许</w:t>
            </w:r>
          </w:p>
        </w:tc>
      </w:tr>
      <w:tr w14:paraId="1B2E959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776" w:hRule="exact"/>
          <w:tblHeader/>
          <w:jc w:val="center"/>
        </w:trPr>
        <w:tc>
          <w:tcPr>
            <w:tcW w:w="1111" w:type="dxa"/>
            <w:noWrap w:val="0"/>
            <w:vAlign w:val="center"/>
          </w:tcPr>
          <w:p w14:paraId="596B99F0">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17</w:t>
            </w:r>
          </w:p>
        </w:tc>
        <w:tc>
          <w:tcPr>
            <w:tcW w:w="1985" w:type="dxa"/>
            <w:noWrap w:val="0"/>
            <w:vAlign w:val="center"/>
          </w:tcPr>
          <w:p w14:paraId="0BC798E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构成招标文件的其他材料</w:t>
            </w:r>
          </w:p>
        </w:tc>
        <w:tc>
          <w:tcPr>
            <w:tcW w:w="7317" w:type="dxa"/>
            <w:noWrap w:val="0"/>
            <w:vAlign w:val="center"/>
          </w:tcPr>
          <w:p w14:paraId="48F6DA63">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招标过程中所发出的补遗、答疑文件。</w:t>
            </w:r>
          </w:p>
        </w:tc>
      </w:tr>
      <w:tr w14:paraId="34A7ECA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770" w:hRule="exact"/>
          <w:tblHeader/>
          <w:jc w:val="center"/>
        </w:trPr>
        <w:tc>
          <w:tcPr>
            <w:tcW w:w="1111" w:type="dxa"/>
            <w:noWrap w:val="0"/>
            <w:vAlign w:val="center"/>
          </w:tcPr>
          <w:p w14:paraId="0F9D16D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18</w:t>
            </w:r>
          </w:p>
        </w:tc>
        <w:tc>
          <w:tcPr>
            <w:tcW w:w="1985" w:type="dxa"/>
            <w:noWrap w:val="0"/>
            <w:vAlign w:val="center"/>
          </w:tcPr>
          <w:p w14:paraId="33A6D7DE">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投标人要求澄清招标文件的截止时间</w:t>
            </w:r>
          </w:p>
        </w:tc>
        <w:tc>
          <w:tcPr>
            <w:tcW w:w="7317" w:type="dxa"/>
            <w:noWrap w:val="0"/>
            <w:vAlign w:val="center"/>
          </w:tcPr>
          <w:p w14:paraId="50EC1E50">
            <w:pPr>
              <w:spacing w:line="300" w:lineRule="auto"/>
              <w:rPr>
                <w:rFonts w:hint="eastAsia" w:ascii="宋体" w:hAnsi="宋体"/>
                <w:color w:val="auto"/>
                <w:sz w:val="24"/>
                <w:szCs w:val="24"/>
                <w:highlight w:val="none"/>
              </w:rPr>
            </w:pPr>
            <w:r>
              <w:rPr>
                <w:rFonts w:ascii="宋体" w:hAnsi="宋体"/>
                <w:color w:val="auto"/>
                <w:sz w:val="24"/>
                <w:szCs w:val="24"/>
                <w:highlight w:val="none"/>
              </w:rPr>
              <w:t>投标人如认为招标文件表述不清晰、存在前后矛盾等内容的，应当在投标截止日</w:t>
            </w:r>
            <w:r>
              <w:rPr>
                <w:rFonts w:hint="eastAsia" w:ascii="宋体" w:hAnsi="宋体"/>
                <w:color w:val="auto"/>
                <w:sz w:val="24"/>
                <w:szCs w:val="24"/>
                <w:highlight w:val="none"/>
                <w:lang w:val="en-US" w:eastAsia="zh-CN"/>
              </w:rPr>
              <w:t>15</w:t>
            </w:r>
            <w:r>
              <w:rPr>
                <w:rFonts w:ascii="宋体" w:hAnsi="宋体"/>
                <w:color w:val="auto"/>
                <w:sz w:val="24"/>
                <w:szCs w:val="24"/>
                <w:highlight w:val="none"/>
              </w:rPr>
              <w:t>天前以书面形式要求招标人作出书面澄清。</w:t>
            </w:r>
          </w:p>
        </w:tc>
      </w:tr>
      <w:tr w14:paraId="3562E0D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389" w:hRule="exact"/>
          <w:tblHeader/>
          <w:jc w:val="center"/>
        </w:trPr>
        <w:tc>
          <w:tcPr>
            <w:tcW w:w="1111" w:type="dxa"/>
            <w:noWrap w:val="0"/>
            <w:vAlign w:val="center"/>
          </w:tcPr>
          <w:p w14:paraId="7453D64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19</w:t>
            </w:r>
          </w:p>
        </w:tc>
        <w:tc>
          <w:tcPr>
            <w:tcW w:w="1985" w:type="dxa"/>
            <w:noWrap w:val="0"/>
            <w:vAlign w:val="center"/>
          </w:tcPr>
          <w:p w14:paraId="69DCEACF">
            <w:pPr>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lang w:val="zh-CN"/>
              </w:rPr>
              <w:t>投标截止时间和地址</w:t>
            </w:r>
          </w:p>
        </w:tc>
        <w:tc>
          <w:tcPr>
            <w:tcW w:w="7317" w:type="dxa"/>
            <w:noWrap w:val="0"/>
            <w:vAlign w:val="center"/>
          </w:tcPr>
          <w:p w14:paraId="3D4C4BE6">
            <w:pPr>
              <w:spacing w:line="360" w:lineRule="auto"/>
              <w:rPr>
                <w:rFonts w:hint="eastAsia" w:ascii="宋体" w:hAnsi="宋体"/>
                <w:color w:val="auto"/>
                <w:sz w:val="24"/>
                <w:szCs w:val="24"/>
                <w:highlight w:val="none"/>
                <w:lang w:val="zh-CN"/>
              </w:rPr>
            </w:pPr>
            <w:r>
              <w:rPr>
                <w:rFonts w:hint="eastAsia" w:ascii="宋体" w:hAnsi="宋体"/>
                <w:color w:val="auto"/>
                <w:sz w:val="24"/>
                <w:szCs w:val="24"/>
                <w:highlight w:val="none"/>
                <w:lang w:val="zh-CN"/>
              </w:rPr>
              <w:t>投标截止时间：详见第一章招标公告</w:t>
            </w:r>
          </w:p>
          <w:p w14:paraId="2180F16B">
            <w:pPr>
              <w:spacing w:line="360" w:lineRule="auto"/>
              <w:rPr>
                <w:rFonts w:hint="eastAsia" w:ascii="宋体" w:hAnsi="宋体"/>
                <w:color w:val="auto"/>
                <w:sz w:val="24"/>
                <w:szCs w:val="24"/>
                <w:highlight w:val="none"/>
              </w:rPr>
            </w:pPr>
            <w:r>
              <w:rPr>
                <w:rFonts w:hint="eastAsia" w:ascii="宋体" w:hAnsi="宋体"/>
                <w:color w:val="auto"/>
                <w:sz w:val="24"/>
                <w:szCs w:val="24"/>
                <w:highlight w:val="none"/>
                <w:lang w:val="zh-CN"/>
              </w:rPr>
              <w:t>投标地址：（1）“电子加密投标文件”：化工云商网（巨化数字化招采平台）https://juhua.ccccnet.com/在线投标。</w:t>
            </w:r>
          </w:p>
        </w:tc>
      </w:tr>
      <w:tr w14:paraId="3EE856E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58" w:hRule="exact"/>
          <w:tblHeader/>
          <w:jc w:val="center"/>
        </w:trPr>
        <w:tc>
          <w:tcPr>
            <w:tcW w:w="1111" w:type="dxa"/>
            <w:noWrap w:val="0"/>
            <w:vAlign w:val="center"/>
          </w:tcPr>
          <w:p w14:paraId="7538C9AE">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21</w:t>
            </w:r>
          </w:p>
        </w:tc>
        <w:tc>
          <w:tcPr>
            <w:tcW w:w="1985" w:type="dxa"/>
            <w:noWrap w:val="0"/>
            <w:vAlign w:val="center"/>
          </w:tcPr>
          <w:p w14:paraId="254EE1DE">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投标有效期</w:t>
            </w:r>
          </w:p>
        </w:tc>
        <w:tc>
          <w:tcPr>
            <w:tcW w:w="7317" w:type="dxa"/>
            <w:noWrap w:val="0"/>
            <w:vAlign w:val="center"/>
          </w:tcPr>
          <w:p w14:paraId="0E062D48">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90</w:t>
            </w:r>
            <w:r>
              <w:rPr>
                <w:rFonts w:hint="eastAsia" w:ascii="宋体" w:hAnsi="宋体"/>
                <w:color w:val="auto"/>
                <w:sz w:val="24"/>
                <w:szCs w:val="24"/>
                <w:highlight w:val="none"/>
                <w:lang w:eastAsia="zh-CN"/>
              </w:rPr>
              <w:t>个</w:t>
            </w:r>
            <w:r>
              <w:rPr>
                <w:rFonts w:hint="eastAsia" w:ascii="宋体" w:hAnsi="宋体"/>
                <w:color w:val="auto"/>
                <w:sz w:val="24"/>
                <w:szCs w:val="24"/>
                <w:highlight w:val="none"/>
              </w:rPr>
              <w:t>历日（从开标之日算起）</w:t>
            </w:r>
          </w:p>
        </w:tc>
      </w:tr>
      <w:tr w14:paraId="695EF0A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610" w:hRule="atLeast"/>
          <w:tblHeader/>
          <w:jc w:val="center"/>
        </w:trPr>
        <w:tc>
          <w:tcPr>
            <w:tcW w:w="1111" w:type="dxa"/>
            <w:noWrap w:val="0"/>
            <w:vAlign w:val="center"/>
          </w:tcPr>
          <w:p w14:paraId="6ECD0A7F">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22</w:t>
            </w:r>
          </w:p>
        </w:tc>
        <w:tc>
          <w:tcPr>
            <w:tcW w:w="1985" w:type="dxa"/>
            <w:noWrap w:val="0"/>
            <w:vAlign w:val="center"/>
          </w:tcPr>
          <w:p w14:paraId="0E5D53D7">
            <w:pPr>
              <w:snapToGrid w:val="0"/>
              <w:spacing w:line="360" w:lineRule="auto"/>
              <w:jc w:val="center"/>
              <w:rPr>
                <w:rFonts w:hint="eastAsia" w:ascii="宋体" w:hAnsi="宋体"/>
                <w:color w:val="auto"/>
                <w:sz w:val="24"/>
                <w:szCs w:val="24"/>
                <w:highlight w:val="none"/>
              </w:rPr>
            </w:pPr>
            <w:r>
              <w:rPr>
                <w:rFonts w:ascii="宋体" w:hAnsi="宋体"/>
                <w:color w:val="auto"/>
                <w:sz w:val="24"/>
                <w:szCs w:val="24"/>
                <w:highlight w:val="none"/>
              </w:rPr>
              <w:t>投标保证金退还</w:t>
            </w:r>
          </w:p>
        </w:tc>
        <w:tc>
          <w:tcPr>
            <w:tcW w:w="7317" w:type="dxa"/>
            <w:noWrap w:val="0"/>
            <w:vAlign w:val="center"/>
          </w:tcPr>
          <w:p w14:paraId="48A30C8E">
            <w:pPr>
              <w:snapToGrid w:val="0"/>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除招标文件规定不予退还保证金的情形外，自中标通知书发出后5个工作日内退还未中标单位的投标保证金；自合同签订之日起5个工作日内退还中标人的投标保证金。</w:t>
            </w:r>
          </w:p>
          <w:p w14:paraId="130A9440">
            <w:pPr>
              <w:snapToGrid w:val="0"/>
              <w:spacing w:line="360" w:lineRule="auto"/>
              <w:rPr>
                <w:rFonts w:hint="eastAsia" w:ascii="宋体" w:hAnsi="宋体"/>
                <w:color w:val="auto"/>
                <w:sz w:val="24"/>
                <w:szCs w:val="24"/>
                <w:highlight w:val="none"/>
              </w:rPr>
            </w:pPr>
            <w:r>
              <w:rPr>
                <w:rFonts w:ascii="宋体" w:hAnsi="宋体"/>
                <w:color w:val="auto"/>
                <w:sz w:val="24"/>
                <w:szCs w:val="24"/>
                <w:highlight w:val="none"/>
              </w:rPr>
              <w:t>投标人应当提供</w:t>
            </w:r>
            <w:r>
              <w:rPr>
                <w:rFonts w:hint="eastAsia" w:ascii="宋体" w:hAnsi="宋体"/>
                <w:color w:val="auto"/>
                <w:sz w:val="24"/>
                <w:szCs w:val="24"/>
                <w:highlight w:val="none"/>
              </w:rPr>
              <w:t>“</w:t>
            </w:r>
            <w:r>
              <w:rPr>
                <w:rFonts w:ascii="宋体" w:hAnsi="宋体"/>
                <w:color w:val="auto"/>
                <w:sz w:val="24"/>
                <w:szCs w:val="24"/>
                <w:highlight w:val="none"/>
              </w:rPr>
              <w:t>退还投标保证金申请书</w:t>
            </w:r>
            <w:r>
              <w:rPr>
                <w:rFonts w:hint="eastAsia" w:ascii="宋体" w:hAnsi="宋体"/>
                <w:color w:val="auto"/>
                <w:sz w:val="24"/>
                <w:szCs w:val="24"/>
                <w:highlight w:val="none"/>
              </w:rPr>
              <w:t>”</w:t>
            </w:r>
            <w:r>
              <w:rPr>
                <w:rFonts w:ascii="宋体" w:hAnsi="宋体"/>
                <w:color w:val="auto"/>
                <w:sz w:val="24"/>
                <w:szCs w:val="24"/>
                <w:highlight w:val="none"/>
              </w:rPr>
              <w:t>（格式见附件）。招标代理机构凭</w:t>
            </w:r>
            <w:r>
              <w:rPr>
                <w:rFonts w:hint="eastAsia" w:ascii="宋体" w:hAnsi="宋体"/>
                <w:color w:val="auto"/>
                <w:sz w:val="24"/>
                <w:szCs w:val="24"/>
                <w:highlight w:val="none"/>
              </w:rPr>
              <w:t>“</w:t>
            </w:r>
            <w:r>
              <w:rPr>
                <w:rFonts w:ascii="宋体" w:hAnsi="宋体"/>
                <w:color w:val="auto"/>
                <w:sz w:val="24"/>
                <w:szCs w:val="24"/>
                <w:highlight w:val="none"/>
              </w:rPr>
              <w:t>退还投标保证金申请书</w:t>
            </w:r>
            <w:r>
              <w:rPr>
                <w:rFonts w:hint="eastAsia" w:ascii="宋体" w:hAnsi="宋体"/>
                <w:color w:val="auto"/>
                <w:sz w:val="24"/>
                <w:szCs w:val="24"/>
                <w:highlight w:val="none"/>
              </w:rPr>
              <w:t>”</w:t>
            </w:r>
            <w:r>
              <w:rPr>
                <w:rFonts w:ascii="宋体" w:hAnsi="宋体"/>
                <w:color w:val="auto"/>
                <w:sz w:val="24"/>
                <w:szCs w:val="24"/>
                <w:highlight w:val="none"/>
              </w:rPr>
              <w:t>或投标人另行开具的退还投标保证金收据以电汇或转账方式予以退还。</w:t>
            </w:r>
            <w:r>
              <w:rPr>
                <w:rFonts w:hint="eastAsia" w:ascii="宋体" w:hAnsi="宋体"/>
                <w:color w:val="auto"/>
                <w:sz w:val="24"/>
                <w:szCs w:val="24"/>
                <w:highlight w:val="none"/>
              </w:rPr>
              <w:t>“</w:t>
            </w:r>
            <w:r>
              <w:rPr>
                <w:rFonts w:ascii="宋体" w:hAnsi="宋体"/>
                <w:color w:val="auto"/>
                <w:sz w:val="24"/>
                <w:szCs w:val="24"/>
                <w:highlight w:val="none"/>
              </w:rPr>
              <w:t>退还投标保证金申请书</w:t>
            </w:r>
            <w:r>
              <w:rPr>
                <w:rFonts w:hint="eastAsia" w:ascii="宋体" w:hAnsi="宋体"/>
                <w:color w:val="auto"/>
                <w:sz w:val="24"/>
                <w:szCs w:val="24"/>
                <w:highlight w:val="none"/>
              </w:rPr>
              <w:t>”扫描件可以发送招标代理或邮寄。</w:t>
            </w:r>
          </w:p>
        </w:tc>
      </w:tr>
      <w:tr w14:paraId="58E867A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610" w:hRule="atLeast"/>
          <w:tblHeader/>
          <w:jc w:val="center"/>
        </w:trPr>
        <w:tc>
          <w:tcPr>
            <w:tcW w:w="1111" w:type="dxa"/>
            <w:noWrap w:val="0"/>
            <w:vAlign w:val="center"/>
          </w:tcPr>
          <w:p w14:paraId="1257ECBD">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23</w:t>
            </w:r>
          </w:p>
        </w:tc>
        <w:tc>
          <w:tcPr>
            <w:tcW w:w="1985" w:type="dxa"/>
            <w:noWrap w:val="0"/>
            <w:vAlign w:val="center"/>
          </w:tcPr>
          <w:p w14:paraId="2F659FAD">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近年财务状况的年份要求</w:t>
            </w:r>
          </w:p>
        </w:tc>
        <w:tc>
          <w:tcPr>
            <w:tcW w:w="7317" w:type="dxa"/>
            <w:noWrap w:val="0"/>
            <w:vAlign w:val="center"/>
          </w:tcPr>
          <w:p w14:paraId="73FCB94B">
            <w:pPr>
              <w:pStyle w:val="9"/>
              <w:rPr>
                <w:rFonts w:hint="eastAsia" w:ascii="宋体" w:hAnsi="宋体"/>
                <w:color w:val="auto"/>
                <w:sz w:val="24"/>
                <w:szCs w:val="24"/>
                <w:highlight w:val="none"/>
              </w:rPr>
            </w:pPr>
            <w:r>
              <w:rPr>
                <w:rFonts w:hint="eastAsia" w:ascii="宋体" w:hAnsi="宋体"/>
                <w:color w:val="auto"/>
                <w:sz w:val="24"/>
                <w:szCs w:val="24"/>
                <w:highlight w:val="none"/>
                <w:u w:val="single"/>
              </w:rPr>
              <w:t>近三年的财务报表（202</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2</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年）</w:t>
            </w:r>
            <w:r>
              <w:rPr>
                <w:rFonts w:hint="eastAsia"/>
                <w:color w:val="auto"/>
                <w:highlight w:val="none"/>
                <w:lang w:eastAsia="zh-CN"/>
              </w:rPr>
              <w:t>，</w:t>
            </w:r>
            <w:r>
              <w:rPr>
                <w:rFonts w:hint="eastAsia"/>
                <w:color w:val="auto"/>
                <w:highlight w:val="none"/>
                <w:lang w:val="en-US" w:eastAsia="zh-CN"/>
              </w:rPr>
              <w:t>不满三年的，自公司成立之日起，提供财务报表。</w:t>
            </w:r>
          </w:p>
        </w:tc>
      </w:tr>
      <w:tr w14:paraId="2137506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16" w:hRule="atLeast"/>
          <w:tblHeader/>
          <w:jc w:val="center"/>
        </w:trPr>
        <w:tc>
          <w:tcPr>
            <w:tcW w:w="1111" w:type="dxa"/>
            <w:noWrap w:val="0"/>
            <w:vAlign w:val="center"/>
          </w:tcPr>
          <w:p w14:paraId="4A592DE3">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24</w:t>
            </w:r>
          </w:p>
        </w:tc>
        <w:tc>
          <w:tcPr>
            <w:tcW w:w="1985" w:type="dxa"/>
            <w:noWrap w:val="0"/>
            <w:vAlign w:val="center"/>
          </w:tcPr>
          <w:p w14:paraId="18C73F73">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是否允许递交备选投标方案</w:t>
            </w:r>
          </w:p>
        </w:tc>
        <w:tc>
          <w:tcPr>
            <w:tcW w:w="7317" w:type="dxa"/>
            <w:noWrap w:val="0"/>
            <w:vAlign w:val="center"/>
          </w:tcPr>
          <w:p w14:paraId="72DB60B2">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√不允许</w:t>
            </w:r>
          </w:p>
          <w:p w14:paraId="60C0ACEF">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□允许</w:t>
            </w:r>
          </w:p>
        </w:tc>
      </w:tr>
      <w:tr w14:paraId="766961F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39" w:hRule="atLeast"/>
          <w:tblHeader/>
          <w:jc w:val="center"/>
        </w:trPr>
        <w:tc>
          <w:tcPr>
            <w:tcW w:w="1111" w:type="dxa"/>
            <w:noWrap w:val="0"/>
            <w:vAlign w:val="center"/>
          </w:tcPr>
          <w:p w14:paraId="487C20AF">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25</w:t>
            </w:r>
          </w:p>
        </w:tc>
        <w:tc>
          <w:tcPr>
            <w:tcW w:w="1985" w:type="dxa"/>
            <w:noWrap w:val="0"/>
            <w:vAlign w:val="center"/>
          </w:tcPr>
          <w:p w14:paraId="325A153D">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签字或盖章要求</w:t>
            </w:r>
          </w:p>
        </w:tc>
        <w:tc>
          <w:tcPr>
            <w:tcW w:w="7317" w:type="dxa"/>
            <w:noWrap w:val="0"/>
            <w:vAlign w:val="center"/>
          </w:tcPr>
          <w:p w14:paraId="2AAF1DEE">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招标文件中要求签字或盖章的地方应采用电子签章</w:t>
            </w:r>
            <w:r>
              <w:rPr>
                <w:rFonts w:hint="eastAsia" w:ascii="宋体" w:hAnsi="宋体"/>
                <w:color w:val="auto"/>
                <w:sz w:val="24"/>
                <w:szCs w:val="24"/>
                <w:highlight w:val="none"/>
                <w:lang w:eastAsia="zh-CN"/>
              </w:rPr>
              <w:t>。</w:t>
            </w:r>
          </w:p>
        </w:tc>
      </w:tr>
      <w:tr w14:paraId="34A141F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39" w:hRule="atLeast"/>
          <w:tblHeader/>
          <w:jc w:val="center"/>
        </w:trPr>
        <w:tc>
          <w:tcPr>
            <w:tcW w:w="1111" w:type="dxa"/>
            <w:noWrap w:val="0"/>
            <w:vAlign w:val="center"/>
          </w:tcPr>
          <w:p w14:paraId="571ECE42">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26</w:t>
            </w:r>
          </w:p>
        </w:tc>
        <w:tc>
          <w:tcPr>
            <w:tcW w:w="1985" w:type="dxa"/>
            <w:noWrap w:val="0"/>
            <w:vAlign w:val="center"/>
          </w:tcPr>
          <w:p w14:paraId="446950EF">
            <w:pPr>
              <w:snapToGrid w:val="0"/>
              <w:spacing w:line="312" w:lineRule="auto"/>
              <w:jc w:val="center"/>
              <w:rPr>
                <w:rFonts w:hint="eastAsia" w:ascii="宋体" w:hAnsi="宋体"/>
                <w:color w:val="auto"/>
                <w:sz w:val="24"/>
                <w:szCs w:val="24"/>
                <w:highlight w:val="none"/>
              </w:rPr>
            </w:pPr>
            <w:r>
              <w:rPr>
                <w:rFonts w:hint="eastAsia" w:ascii="宋体" w:cs="宋体"/>
                <w:color w:val="auto"/>
                <w:sz w:val="24"/>
                <w:highlight w:val="none"/>
              </w:rPr>
              <w:t>*</w:t>
            </w:r>
            <w:r>
              <w:rPr>
                <w:rFonts w:hint="eastAsia"/>
                <w:b/>
                <w:bCs/>
                <w:color w:val="auto"/>
                <w:sz w:val="24"/>
                <w:highlight w:val="none"/>
              </w:rPr>
              <w:t>投标文件的组成</w:t>
            </w:r>
          </w:p>
        </w:tc>
        <w:tc>
          <w:tcPr>
            <w:tcW w:w="7317" w:type="dxa"/>
            <w:noWrap w:val="0"/>
            <w:vAlign w:val="center"/>
          </w:tcPr>
          <w:p w14:paraId="3081B036">
            <w:pPr>
              <w:snapToGrid w:val="0"/>
              <w:spacing w:line="400" w:lineRule="exact"/>
              <w:rPr>
                <w:rFonts w:ascii="宋体" w:hAnsi="宋体" w:cs="宋体"/>
                <w:b/>
                <w:bCs/>
                <w:color w:val="auto"/>
                <w:sz w:val="24"/>
                <w:highlight w:val="none"/>
                <w:lang w:val="zh-CN"/>
              </w:rPr>
            </w:pPr>
            <w:r>
              <w:rPr>
                <w:rStyle w:val="28"/>
                <w:rFonts w:hint="eastAsia" w:ascii="宋体" w:cs="宋体"/>
                <w:color w:val="auto"/>
                <w:sz w:val="24"/>
                <w:highlight w:val="none"/>
              </w:rPr>
              <w:t>投标文件由</w:t>
            </w:r>
            <w:r>
              <w:rPr>
                <w:rFonts w:hint="eastAsia" w:ascii="宋体" w:cs="宋体"/>
                <w:color w:val="auto"/>
                <w:sz w:val="24"/>
                <w:highlight w:val="none"/>
              </w:rPr>
              <w:t>技术资信文件（</w:t>
            </w:r>
            <w:r>
              <w:rPr>
                <w:rFonts w:hint="eastAsia"/>
                <w:color w:val="auto"/>
                <w:sz w:val="24"/>
                <w:highlight w:val="none"/>
              </w:rPr>
              <w:t>资格证明文件</w:t>
            </w:r>
            <w:r>
              <w:rPr>
                <w:rFonts w:hint="eastAsia" w:ascii="宋体" w:hAnsi="宋体" w:cs="宋体"/>
                <w:color w:val="auto"/>
                <w:sz w:val="24"/>
                <w:highlight w:val="none"/>
                <w:lang w:val="zh-CN"/>
              </w:rPr>
              <w:t>、技术</w:t>
            </w:r>
            <w:r>
              <w:rPr>
                <w:rFonts w:hint="eastAsia" w:ascii="宋体" w:hAnsi="宋体" w:cs="宋体"/>
                <w:color w:val="auto"/>
                <w:sz w:val="24"/>
                <w:highlight w:val="none"/>
              </w:rPr>
              <w:t>文件</w:t>
            </w:r>
            <w:r>
              <w:rPr>
                <w:rFonts w:hint="eastAsia" w:ascii="宋体" w:cs="宋体"/>
                <w:color w:val="auto"/>
                <w:sz w:val="24"/>
                <w:highlight w:val="none"/>
              </w:rPr>
              <w:t>）、商务经济文件</w:t>
            </w:r>
            <w:r>
              <w:rPr>
                <w:rStyle w:val="28"/>
                <w:rFonts w:hint="eastAsia" w:ascii="宋体" w:cs="宋体"/>
                <w:color w:val="auto"/>
                <w:sz w:val="24"/>
                <w:highlight w:val="none"/>
              </w:rPr>
              <w:t>两部分</w:t>
            </w:r>
            <w:r>
              <w:rPr>
                <w:rFonts w:hint="eastAsia" w:ascii="宋体" w:hAnsi="宋体" w:cs="宋体"/>
                <w:color w:val="auto"/>
                <w:sz w:val="24"/>
                <w:highlight w:val="none"/>
                <w:lang w:val="zh-CN"/>
              </w:rPr>
              <w:t>组成</w:t>
            </w:r>
            <w:r>
              <w:rPr>
                <w:rFonts w:hint="eastAsia" w:ascii="宋体" w:hAnsi="宋体" w:cs="宋体"/>
                <w:b/>
                <w:bCs/>
                <w:color w:val="auto"/>
                <w:sz w:val="24"/>
                <w:highlight w:val="none"/>
                <w:lang w:val="zh-CN"/>
              </w:rPr>
              <w:t>。</w:t>
            </w:r>
          </w:p>
          <w:p w14:paraId="1CBBF4E5">
            <w:pPr>
              <w:spacing w:line="312" w:lineRule="auto"/>
              <w:rPr>
                <w:rFonts w:hint="eastAsia" w:ascii="宋体" w:hAnsi="宋体"/>
                <w:color w:val="auto"/>
                <w:sz w:val="24"/>
                <w:szCs w:val="24"/>
                <w:highlight w:val="none"/>
              </w:rPr>
            </w:pPr>
            <w:r>
              <w:rPr>
                <w:rFonts w:hint="eastAsia" w:ascii="宋体" w:hAnsi="宋体" w:cs="宋体"/>
                <w:b/>
                <w:bCs/>
                <w:color w:val="auto"/>
                <w:sz w:val="24"/>
                <w:highlight w:val="none"/>
                <w:lang w:val="zh-CN"/>
              </w:rPr>
              <w:t>其中资格证明</w:t>
            </w:r>
            <w:r>
              <w:rPr>
                <w:rFonts w:hint="eastAsia" w:ascii="宋体" w:hAnsi="宋体" w:cs="宋体"/>
                <w:b/>
                <w:bCs/>
                <w:color w:val="auto"/>
                <w:sz w:val="24"/>
                <w:highlight w:val="none"/>
              </w:rPr>
              <w:t>文件</w:t>
            </w:r>
            <w:r>
              <w:rPr>
                <w:rFonts w:hint="eastAsia" w:ascii="宋体" w:hAnsi="宋体" w:cs="宋体"/>
                <w:b/>
                <w:bCs/>
                <w:color w:val="auto"/>
                <w:sz w:val="24"/>
                <w:highlight w:val="none"/>
                <w:lang w:val="zh-CN"/>
              </w:rPr>
              <w:t>、技术文件</w:t>
            </w:r>
            <w:r>
              <w:rPr>
                <w:rFonts w:hint="eastAsia" w:ascii="宋体" w:hAnsi="宋体" w:cs="宋体"/>
                <w:b/>
                <w:bCs/>
                <w:color w:val="auto"/>
                <w:sz w:val="24"/>
                <w:highlight w:val="none"/>
              </w:rPr>
              <w:t>合并</w:t>
            </w:r>
            <w:r>
              <w:rPr>
                <w:rFonts w:hint="eastAsia" w:ascii="宋体" w:hAnsi="宋体" w:cs="宋体"/>
                <w:b/>
                <w:bCs/>
                <w:color w:val="auto"/>
                <w:sz w:val="24"/>
                <w:highlight w:val="none"/>
                <w:lang w:val="zh-CN"/>
              </w:rPr>
              <w:t>上传至技术资信客户端；商务经济文件制作上传至商务经济客户端；</w:t>
            </w:r>
          </w:p>
        </w:tc>
      </w:tr>
      <w:tr w14:paraId="192ED07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2251" w:hRule="exact"/>
          <w:tblHeader/>
          <w:jc w:val="center"/>
        </w:trPr>
        <w:tc>
          <w:tcPr>
            <w:tcW w:w="1111" w:type="dxa"/>
            <w:noWrap w:val="0"/>
            <w:vAlign w:val="center"/>
          </w:tcPr>
          <w:p w14:paraId="537752C1">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27</w:t>
            </w:r>
          </w:p>
        </w:tc>
        <w:tc>
          <w:tcPr>
            <w:tcW w:w="1985" w:type="dxa"/>
            <w:noWrap w:val="0"/>
            <w:vAlign w:val="center"/>
          </w:tcPr>
          <w:p w14:paraId="7FFC828C">
            <w:pPr>
              <w:spacing w:line="360" w:lineRule="auto"/>
              <w:rPr>
                <w:rFonts w:hint="eastAsia" w:ascii="宋体" w:hAnsi="宋体"/>
                <w:color w:val="auto"/>
                <w:sz w:val="24"/>
                <w:szCs w:val="24"/>
                <w:highlight w:val="none"/>
              </w:rPr>
            </w:pPr>
            <w:r>
              <w:rPr>
                <w:rFonts w:hint="eastAsia" w:ascii="宋体" w:hAnsi="宋体"/>
                <w:color w:val="auto"/>
                <w:sz w:val="24"/>
                <w:szCs w:val="24"/>
                <w:highlight w:val="none"/>
                <w:lang w:val="zh-CN"/>
              </w:rPr>
              <w:t>投标文件编制</w:t>
            </w:r>
          </w:p>
        </w:tc>
        <w:tc>
          <w:tcPr>
            <w:tcW w:w="7317" w:type="dxa"/>
            <w:noWrap w:val="0"/>
            <w:vAlign w:val="center"/>
          </w:tcPr>
          <w:p w14:paraId="645A2172">
            <w:pPr>
              <w:spacing w:line="360" w:lineRule="auto"/>
              <w:rPr>
                <w:rFonts w:hint="eastAsia" w:ascii="宋体" w:hAnsi="宋体"/>
                <w:color w:val="auto"/>
                <w:sz w:val="24"/>
                <w:szCs w:val="24"/>
                <w:highlight w:val="none"/>
                <w:lang w:val="zh-CN"/>
              </w:rPr>
            </w:pPr>
            <w:r>
              <w:rPr>
                <w:rFonts w:hint="eastAsia" w:ascii="宋体" w:hAnsi="宋体"/>
                <w:color w:val="auto"/>
                <w:sz w:val="24"/>
                <w:szCs w:val="24"/>
                <w:highlight w:val="none"/>
                <w:lang w:val="zh-CN"/>
              </w:rPr>
              <w:t>1、“电子加密投标文件”：在化工云商网（巨化数字化招采平台），并按照本招标文件和电子交易平台的要求编制并加密投标文件。未按规定加密的投标文件，将被电子交易平台拒收。投标人应当在投标截止时间前，将投标文件生成的“电子加密投标文件”上传电子交易平台。</w:t>
            </w:r>
          </w:p>
          <w:p w14:paraId="361A1A8F">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zh-CN"/>
              </w:rPr>
              <w:t>、“纸质投标文件”：投标时无需提供“纸质投标文件”，中标人须在中标候选人公示发出后5个工作日内提供3套纸质投标文件，纸质投标文件须打印有签章的电子加密投标文件，纸质投标文件可以将技术资信文件、商务经济</w:t>
            </w:r>
            <w:r>
              <w:rPr>
                <w:rFonts w:hint="eastAsia" w:ascii="宋体" w:hAnsi="宋体"/>
                <w:color w:val="auto"/>
                <w:sz w:val="24"/>
                <w:szCs w:val="24"/>
                <w:highlight w:val="none"/>
              </w:rPr>
              <w:t>文件两</w:t>
            </w:r>
            <w:r>
              <w:rPr>
                <w:rFonts w:hint="eastAsia" w:ascii="宋体" w:hAnsi="宋体"/>
                <w:color w:val="auto"/>
                <w:sz w:val="24"/>
                <w:szCs w:val="24"/>
                <w:highlight w:val="none"/>
                <w:lang w:val="zh-CN"/>
              </w:rPr>
              <w:t>部分装订成册。</w:t>
            </w:r>
          </w:p>
        </w:tc>
      </w:tr>
      <w:tr w14:paraId="4C04BF2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58" w:hRule="atLeast"/>
          <w:tblHeader/>
          <w:jc w:val="center"/>
        </w:trPr>
        <w:tc>
          <w:tcPr>
            <w:tcW w:w="1111" w:type="dxa"/>
            <w:noWrap w:val="0"/>
            <w:vAlign w:val="center"/>
          </w:tcPr>
          <w:p w14:paraId="51C48EB6">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28</w:t>
            </w:r>
          </w:p>
        </w:tc>
        <w:tc>
          <w:tcPr>
            <w:tcW w:w="1985" w:type="dxa"/>
            <w:noWrap w:val="0"/>
            <w:vAlign w:val="center"/>
          </w:tcPr>
          <w:p w14:paraId="2C96AA1E">
            <w:pPr>
              <w:spacing w:line="360" w:lineRule="auto"/>
              <w:rPr>
                <w:rFonts w:hint="eastAsia" w:ascii="宋体" w:hAnsi="宋体"/>
                <w:color w:val="auto"/>
                <w:sz w:val="24"/>
                <w:szCs w:val="24"/>
                <w:highlight w:val="none"/>
              </w:rPr>
            </w:pPr>
            <w:r>
              <w:rPr>
                <w:rFonts w:hint="eastAsia" w:ascii="宋体" w:hAnsi="宋体"/>
                <w:color w:val="auto"/>
                <w:sz w:val="24"/>
                <w:szCs w:val="24"/>
                <w:highlight w:val="none"/>
                <w:lang w:val="zh-CN"/>
              </w:rPr>
              <w:t>投标文件的包装、密封和递交</w:t>
            </w:r>
          </w:p>
        </w:tc>
        <w:tc>
          <w:tcPr>
            <w:tcW w:w="7317" w:type="dxa"/>
            <w:noWrap w:val="0"/>
            <w:vAlign w:val="center"/>
          </w:tcPr>
          <w:p w14:paraId="1D595DB6">
            <w:pPr>
              <w:spacing w:line="360" w:lineRule="auto"/>
              <w:rPr>
                <w:rFonts w:hint="eastAsia" w:ascii="宋体" w:hAnsi="宋体"/>
                <w:color w:val="auto"/>
                <w:sz w:val="24"/>
                <w:szCs w:val="24"/>
                <w:highlight w:val="none"/>
                <w:lang w:val="zh-CN"/>
              </w:rPr>
            </w:pPr>
            <w:r>
              <w:rPr>
                <w:rFonts w:hint="eastAsia" w:ascii="宋体" w:hAnsi="宋体"/>
                <w:color w:val="auto"/>
                <w:sz w:val="24"/>
                <w:szCs w:val="24"/>
                <w:highlight w:val="none"/>
                <w:lang w:val="zh-CN"/>
              </w:rPr>
              <w:t>1、“电子加密投标文件”的递交：在线上传递交。</w:t>
            </w:r>
          </w:p>
          <w:p w14:paraId="5620235A">
            <w:pPr>
              <w:spacing w:line="360" w:lineRule="auto"/>
              <w:rPr>
                <w:rFonts w:hint="eastAsia" w:ascii="宋体" w:hAnsi="宋体"/>
                <w:color w:val="auto"/>
                <w:sz w:val="24"/>
                <w:szCs w:val="24"/>
                <w:highlight w:val="none"/>
                <w:lang w:val="zh-CN"/>
              </w:rPr>
            </w:pPr>
            <w:r>
              <w:rPr>
                <w:rFonts w:hint="eastAsia" w:ascii="宋体" w:hAnsi="宋体"/>
                <w:color w:val="auto"/>
                <w:sz w:val="24"/>
                <w:szCs w:val="24"/>
                <w:highlight w:val="none"/>
                <w:lang w:val="zh-CN"/>
              </w:rPr>
              <w:t>（1）投标人应在投标截止时间前将“电子加密投标文件”成功上传递交至“化工云商网（巨化数字化招采平台）”，否则投标无效。</w:t>
            </w:r>
          </w:p>
          <w:p w14:paraId="403C96D4">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zh-CN"/>
              </w:rPr>
              <w:t>、“纸质投标文件”：投标时无需提供“纸质投标文件”，中标人须在中标候选人公示发出后5个工作日内提供3套纸质投标文件，纸质投标文件须打印有签章的电子加密投标文件，纸质投标文件可以将技术资信文件、商务经济文件</w:t>
            </w:r>
            <w:r>
              <w:rPr>
                <w:rFonts w:hint="eastAsia" w:ascii="宋体" w:hAnsi="宋体"/>
                <w:color w:val="auto"/>
                <w:sz w:val="24"/>
                <w:szCs w:val="24"/>
                <w:highlight w:val="none"/>
              </w:rPr>
              <w:t>两</w:t>
            </w:r>
            <w:r>
              <w:rPr>
                <w:rFonts w:hint="eastAsia" w:ascii="宋体" w:hAnsi="宋体"/>
                <w:color w:val="auto"/>
                <w:sz w:val="24"/>
                <w:szCs w:val="24"/>
                <w:highlight w:val="none"/>
                <w:lang w:val="zh-CN"/>
              </w:rPr>
              <w:t>部分装订成册直接邮寄，邮寄或送达地址：浙江衢州市柯城区衢化街道文苑村31幢浙江南方工程咨询管理有限公司210室，收件人：王靓，13059721359。</w:t>
            </w:r>
          </w:p>
        </w:tc>
      </w:tr>
      <w:tr w14:paraId="31DAC83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876" w:hRule="atLeast"/>
          <w:tblHeader/>
          <w:jc w:val="center"/>
        </w:trPr>
        <w:tc>
          <w:tcPr>
            <w:tcW w:w="1111" w:type="dxa"/>
            <w:noWrap w:val="0"/>
            <w:vAlign w:val="center"/>
          </w:tcPr>
          <w:p w14:paraId="6EFE0679">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29</w:t>
            </w:r>
          </w:p>
        </w:tc>
        <w:tc>
          <w:tcPr>
            <w:tcW w:w="1985" w:type="dxa"/>
            <w:noWrap w:val="0"/>
            <w:vAlign w:val="center"/>
          </w:tcPr>
          <w:p w14:paraId="1EF6C944">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是否退还投标文件</w:t>
            </w:r>
          </w:p>
        </w:tc>
        <w:tc>
          <w:tcPr>
            <w:tcW w:w="7317" w:type="dxa"/>
            <w:noWrap w:val="0"/>
            <w:vAlign w:val="center"/>
          </w:tcPr>
          <w:p w14:paraId="413569A6">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√否</w:t>
            </w:r>
          </w:p>
          <w:p w14:paraId="73F087D1">
            <w:pPr>
              <w:spacing w:line="300" w:lineRule="auto"/>
              <w:rPr>
                <w:rFonts w:hint="eastAsia" w:ascii="宋体" w:hAnsi="宋体"/>
                <w:color w:val="auto"/>
                <w:sz w:val="24"/>
                <w:szCs w:val="24"/>
                <w:highlight w:val="none"/>
              </w:rPr>
            </w:pPr>
            <w:r>
              <w:rPr>
                <w:rFonts w:hint="eastAsia" w:ascii="宋体" w:hAnsi="宋体"/>
                <w:color w:val="auto"/>
                <w:sz w:val="24"/>
                <w:szCs w:val="24"/>
                <w:highlight w:val="none"/>
              </w:rPr>
              <w:t>□是</w:t>
            </w:r>
          </w:p>
        </w:tc>
      </w:tr>
      <w:tr w14:paraId="30B312E5">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429" w:hRule="exact"/>
          <w:tblHeader/>
          <w:jc w:val="center"/>
        </w:trPr>
        <w:tc>
          <w:tcPr>
            <w:tcW w:w="1111" w:type="dxa"/>
            <w:noWrap w:val="0"/>
            <w:vAlign w:val="center"/>
          </w:tcPr>
          <w:p w14:paraId="5B7A999B">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30</w:t>
            </w:r>
          </w:p>
        </w:tc>
        <w:tc>
          <w:tcPr>
            <w:tcW w:w="1985" w:type="dxa"/>
            <w:noWrap w:val="0"/>
            <w:vAlign w:val="center"/>
          </w:tcPr>
          <w:p w14:paraId="6292F85D">
            <w:pPr>
              <w:snapToGrid w:val="0"/>
              <w:spacing w:line="360" w:lineRule="auto"/>
              <w:rPr>
                <w:rFonts w:hint="eastAsia" w:ascii="宋体" w:hAnsi="宋体"/>
                <w:color w:val="auto"/>
                <w:sz w:val="24"/>
                <w:szCs w:val="24"/>
                <w:highlight w:val="none"/>
              </w:rPr>
            </w:pPr>
            <w:r>
              <w:rPr>
                <w:rFonts w:hint="eastAsia" w:ascii="宋体" w:hAnsi="宋体"/>
                <w:color w:val="auto"/>
                <w:sz w:val="24"/>
                <w:szCs w:val="24"/>
                <w:highlight w:val="none"/>
              </w:rPr>
              <w:t>开标时间和地址</w:t>
            </w:r>
          </w:p>
        </w:tc>
        <w:tc>
          <w:tcPr>
            <w:tcW w:w="7317" w:type="dxa"/>
            <w:noWrap w:val="0"/>
            <w:vAlign w:val="center"/>
          </w:tcPr>
          <w:p w14:paraId="0F6840D7">
            <w:p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开标时间：详见第一章招标公告</w:t>
            </w:r>
          </w:p>
          <w:p w14:paraId="4CC66E3A">
            <w:pPr>
              <w:spacing w:line="360" w:lineRule="auto"/>
              <w:rPr>
                <w:rFonts w:hint="eastAsia" w:ascii="宋体" w:hAnsi="宋体"/>
                <w:color w:val="auto"/>
                <w:sz w:val="24"/>
                <w:szCs w:val="24"/>
                <w:highlight w:val="none"/>
              </w:rPr>
            </w:pPr>
            <w:r>
              <w:rPr>
                <w:rFonts w:hint="eastAsia" w:ascii="宋体" w:hAnsi="宋体"/>
                <w:bCs/>
                <w:color w:val="auto"/>
                <w:sz w:val="24"/>
                <w:szCs w:val="24"/>
                <w:highlight w:val="none"/>
              </w:rPr>
              <w:t>开标地址：</w:t>
            </w:r>
            <w:r>
              <w:rPr>
                <w:rFonts w:hint="eastAsia" w:ascii="宋体" w:hAnsi="宋体" w:cs="宋体"/>
                <w:color w:val="auto"/>
                <w:sz w:val="24"/>
                <w:szCs w:val="24"/>
                <w:highlight w:val="none"/>
              </w:rPr>
              <w:t>化工云商网（巨化数字化招采平台）https://juhua.ccccnet.com/</w:t>
            </w:r>
            <w:r>
              <w:rPr>
                <w:rFonts w:hint="eastAsia" w:ascii="宋体" w:hAnsi="宋体"/>
                <w:bCs/>
                <w:color w:val="auto"/>
                <w:sz w:val="24"/>
                <w:szCs w:val="24"/>
                <w:highlight w:val="none"/>
              </w:rPr>
              <w:t>。投标人在线参加开标。</w:t>
            </w:r>
          </w:p>
        </w:tc>
      </w:tr>
      <w:tr w14:paraId="7931992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045" w:hRule="exact"/>
          <w:tblHeader/>
          <w:jc w:val="center"/>
        </w:trPr>
        <w:tc>
          <w:tcPr>
            <w:tcW w:w="1111" w:type="dxa"/>
            <w:noWrap w:val="0"/>
            <w:vAlign w:val="center"/>
          </w:tcPr>
          <w:p w14:paraId="33FD5140">
            <w:pPr>
              <w:spacing w:line="300" w:lineRule="auto"/>
              <w:jc w:val="center"/>
              <w:rPr>
                <w:rFonts w:ascii="宋体" w:hAnsi="宋体"/>
                <w:color w:val="auto"/>
                <w:sz w:val="24"/>
                <w:szCs w:val="24"/>
                <w:highlight w:val="none"/>
              </w:rPr>
            </w:pPr>
            <w:r>
              <w:rPr>
                <w:rFonts w:hint="eastAsia" w:ascii="宋体" w:hAnsi="宋体"/>
                <w:color w:val="auto"/>
                <w:sz w:val="24"/>
                <w:szCs w:val="24"/>
                <w:highlight w:val="none"/>
              </w:rPr>
              <w:t>31</w:t>
            </w:r>
          </w:p>
        </w:tc>
        <w:tc>
          <w:tcPr>
            <w:tcW w:w="1985" w:type="dxa"/>
            <w:noWrap w:val="0"/>
            <w:vAlign w:val="center"/>
          </w:tcPr>
          <w:p w14:paraId="43408EBB">
            <w:pPr>
              <w:snapToGrid w:val="0"/>
              <w:spacing w:line="360" w:lineRule="auto"/>
              <w:rPr>
                <w:rFonts w:hint="default" w:ascii="宋体" w:hAnsi="宋体" w:eastAsia="宋体" w:cs="Times New Roman"/>
                <w:color w:val="auto"/>
                <w:sz w:val="24"/>
                <w:szCs w:val="24"/>
                <w:highlight w:val="none"/>
                <w:lang w:val="en-US" w:eastAsia="zh-CN"/>
              </w:rPr>
            </w:pPr>
            <w:r>
              <w:rPr>
                <w:rFonts w:hint="default" w:ascii="宋体" w:hAnsi="宋体" w:eastAsia="宋体" w:cs="Times New Roman"/>
                <w:color w:val="auto"/>
                <w:sz w:val="24"/>
                <w:szCs w:val="24"/>
                <w:highlight w:val="none"/>
                <w:lang w:val="en-US" w:eastAsia="zh-CN"/>
              </w:rPr>
              <w:t xml:space="preserve">是否授权评标委 </w:t>
            </w:r>
          </w:p>
          <w:p w14:paraId="53FA0193">
            <w:pPr>
              <w:snapToGrid w:val="0"/>
              <w:spacing w:line="360" w:lineRule="auto"/>
              <w:rPr>
                <w:rFonts w:hint="eastAsia" w:ascii="宋体" w:hAnsi="宋体" w:eastAsia="宋体" w:cs="Times New Roman"/>
                <w:color w:val="auto"/>
                <w:sz w:val="24"/>
                <w:szCs w:val="24"/>
                <w:highlight w:val="none"/>
              </w:rPr>
            </w:pPr>
            <w:r>
              <w:rPr>
                <w:rFonts w:hint="default" w:ascii="宋体" w:hAnsi="宋体" w:eastAsia="宋体" w:cs="Times New Roman"/>
                <w:color w:val="auto"/>
                <w:sz w:val="24"/>
                <w:szCs w:val="24"/>
                <w:highlight w:val="none"/>
                <w:lang w:val="en-US" w:eastAsia="zh-CN"/>
              </w:rPr>
              <w:t>员会确定中标人</w:t>
            </w:r>
          </w:p>
        </w:tc>
        <w:tc>
          <w:tcPr>
            <w:tcW w:w="7317" w:type="dxa"/>
            <w:noWrap w:val="0"/>
            <w:vAlign w:val="center"/>
          </w:tcPr>
          <w:p w14:paraId="7BD204DF">
            <w:pPr>
              <w:snapToGrid w:val="0"/>
              <w:spacing w:line="360" w:lineRule="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是，中标候选人数：1 家。</w:t>
            </w:r>
          </w:p>
        </w:tc>
      </w:tr>
      <w:tr w14:paraId="41578E0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640" w:hRule="exact"/>
          <w:tblHeader/>
          <w:jc w:val="center"/>
        </w:trPr>
        <w:tc>
          <w:tcPr>
            <w:tcW w:w="1111" w:type="dxa"/>
            <w:noWrap w:val="0"/>
            <w:vAlign w:val="center"/>
          </w:tcPr>
          <w:p w14:paraId="6A2DEA8D">
            <w:pPr>
              <w:spacing w:line="300" w:lineRule="auto"/>
              <w:jc w:val="center"/>
              <w:rPr>
                <w:rFonts w:ascii="宋体" w:hAnsi="宋体"/>
                <w:color w:val="auto"/>
                <w:sz w:val="24"/>
                <w:szCs w:val="24"/>
                <w:highlight w:val="none"/>
              </w:rPr>
            </w:pPr>
            <w:r>
              <w:rPr>
                <w:rFonts w:hint="eastAsia" w:ascii="宋体" w:hAnsi="宋体"/>
                <w:color w:val="auto"/>
                <w:sz w:val="24"/>
                <w:szCs w:val="24"/>
                <w:highlight w:val="none"/>
              </w:rPr>
              <w:t>32</w:t>
            </w:r>
          </w:p>
        </w:tc>
        <w:tc>
          <w:tcPr>
            <w:tcW w:w="1985" w:type="dxa"/>
            <w:noWrap w:val="0"/>
            <w:vAlign w:val="center"/>
          </w:tcPr>
          <w:p w14:paraId="2E0E3A21">
            <w:pPr>
              <w:spacing w:line="300" w:lineRule="auto"/>
              <w:jc w:val="center"/>
              <w:rPr>
                <w:rFonts w:hint="eastAsia" w:ascii="宋体" w:hAnsi="宋体"/>
                <w:color w:val="auto"/>
                <w:sz w:val="24"/>
                <w:szCs w:val="24"/>
                <w:highlight w:val="none"/>
              </w:rPr>
            </w:pPr>
            <w:r>
              <w:rPr>
                <w:rFonts w:hint="eastAsia" w:hAnsi="宋体" w:eastAsia="宋体"/>
                <w:color w:val="auto"/>
                <w:kern w:val="2"/>
                <w:sz w:val="24"/>
                <w:szCs w:val="24"/>
                <w:highlight w:val="none"/>
                <w:lang w:val="en-US" w:eastAsia="zh-CN" w:bidi="ar-SA"/>
              </w:rPr>
              <w:t>履约担保金额和形式</w:t>
            </w:r>
          </w:p>
        </w:tc>
        <w:tc>
          <w:tcPr>
            <w:tcW w:w="7317" w:type="dxa"/>
            <w:noWrap w:val="0"/>
            <w:vAlign w:val="center"/>
          </w:tcPr>
          <w:p w14:paraId="2EE82301">
            <w:pPr>
              <w:spacing w:line="300" w:lineRule="auto"/>
              <w:rPr>
                <w:rFonts w:hint="eastAsia" w:ascii="宋体" w:hAnsi="宋体" w:eastAsia="宋体"/>
                <w:color w:val="auto"/>
                <w:kern w:val="2"/>
                <w:sz w:val="24"/>
                <w:szCs w:val="24"/>
                <w:highlight w:val="none"/>
                <w:lang w:val="en-US" w:eastAsia="zh-CN" w:bidi="ar-SA"/>
              </w:rPr>
            </w:pPr>
            <w:r>
              <w:rPr>
                <w:rFonts w:hint="eastAsia" w:ascii="宋体" w:hAnsi="宋体" w:eastAsia="宋体"/>
                <w:color w:val="auto"/>
                <w:kern w:val="2"/>
                <w:sz w:val="24"/>
                <w:szCs w:val="24"/>
                <w:highlight w:val="none"/>
                <w:lang w:val="en-US" w:eastAsia="zh-CN" w:bidi="ar-SA"/>
              </w:rPr>
              <w:t>履约担保金额：为签约合同价的</w:t>
            </w:r>
            <w:r>
              <w:rPr>
                <w:rFonts w:hint="eastAsia" w:ascii="宋体" w:hAnsi="宋体"/>
                <w:color w:val="auto"/>
                <w:kern w:val="2"/>
                <w:sz w:val="24"/>
                <w:szCs w:val="24"/>
                <w:highlight w:val="none"/>
                <w:lang w:val="en-US" w:eastAsia="zh-CN" w:bidi="ar-SA"/>
              </w:rPr>
              <w:t>10</w:t>
            </w:r>
            <w:r>
              <w:rPr>
                <w:rFonts w:hint="eastAsia" w:ascii="宋体" w:hAnsi="宋体" w:eastAsia="宋体"/>
                <w:color w:val="auto"/>
                <w:kern w:val="2"/>
                <w:sz w:val="24"/>
                <w:szCs w:val="24"/>
                <w:highlight w:val="none"/>
                <w:lang w:val="en-US" w:eastAsia="zh-CN" w:bidi="ar-SA"/>
              </w:rPr>
              <w:t>％。</w:t>
            </w:r>
          </w:p>
          <w:p w14:paraId="3C9C4597">
            <w:pPr>
              <w:spacing w:line="300" w:lineRule="auto"/>
              <w:rPr>
                <w:rFonts w:hint="eastAsia" w:ascii="宋体" w:hAnsi="宋体" w:eastAsia="宋体"/>
                <w:color w:val="auto"/>
                <w:kern w:val="2"/>
                <w:sz w:val="24"/>
                <w:szCs w:val="24"/>
                <w:highlight w:val="none"/>
                <w:lang w:val="en-US" w:eastAsia="zh-CN" w:bidi="ar-SA"/>
              </w:rPr>
            </w:pPr>
            <w:r>
              <w:rPr>
                <w:rFonts w:hint="eastAsia" w:ascii="宋体" w:hAnsi="宋体" w:eastAsia="宋体"/>
                <w:color w:val="auto"/>
                <w:kern w:val="2"/>
                <w:sz w:val="24"/>
                <w:szCs w:val="24"/>
                <w:highlight w:val="none"/>
                <w:lang w:val="en-US" w:eastAsia="zh-CN" w:bidi="ar-SA"/>
              </w:rPr>
              <w:t>履约担保形式：电汇或银行转账或银行保函，在中标通知书发出后合同签订前提交。</w:t>
            </w:r>
          </w:p>
          <w:p w14:paraId="085381B5">
            <w:pPr>
              <w:spacing w:line="300" w:lineRule="auto"/>
              <w:rPr>
                <w:rFonts w:hint="eastAsia" w:ascii="宋体" w:hAnsi="宋体"/>
                <w:color w:val="auto"/>
                <w:sz w:val="24"/>
                <w:szCs w:val="24"/>
                <w:highlight w:val="none"/>
              </w:rPr>
            </w:pPr>
            <w:r>
              <w:rPr>
                <w:rFonts w:hint="eastAsia" w:ascii="宋体" w:hAnsi="宋体" w:eastAsia="宋体"/>
                <w:color w:val="auto"/>
                <w:kern w:val="2"/>
                <w:sz w:val="24"/>
                <w:szCs w:val="24"/>
                <w:highlight w:val="none"/>
                <w:lang w:val="en-US" w:eastAsia="zh-CN" w:bidi="ar-SA"/>
              </w:rPr>
              <w:t>履约担保期限：履约担保有效期至合同到期或解除合同之日后30天。</w:t>
            </w:r>
          </w:p>
        </w:tc>
      </w:tr>
      <w:tr w14:paraId="0AB2D39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290" w:hRule="exact"/>
          <w:tblHeader/>
          <w:jc w:val="center"/>
        </w:trPr>
        <w:tc>
          <w:tcPr>
            <w:tcW w:w="1111" w:type="dxa"/>
            <w:noWrap w:val="0"/>
            <w:vAlign w:val="center"/>
          </w:tcPr>
          <w:p w14:paraId="1E705F07">
            <w:pPr>
              <w:spacing w:line="300" w:lineRule="auto"/>
              <w:jc w:val="center"/>
              <w:rPr>
                <w:rFonts w:hint="eastAsia" w:ascii="宋体" w:hAnsi="宋体"/>
                <w:color w:val="auto"/>
                <w:kern w:val="2"/>
                <w:sz w:val="24"/>
                <w:szCs w:val="24"/>
                <w:highlight w:val="none"/>
                <w:lang w:val="en-US" w:eastAsia="zh-CN" w:bidi="ar-SA"/>
              </w:rPr>
            </w:pPr>
            <w:r>
              <w:rPr>
                <w:rFonts w:hint="eastAsia" w:ascii="宋体" w:hAnsi="宋体"/>
                <w:color w:val="auto"/>
                <w:sz w:val="24"/>
                <w:szCs w:val="24"/>
                <w:highlight w:val="none"/>
              </w:rPr>
              <w:t>33</w:t>
            </w:r>
          </w:p>
        </w:tc>
        <w:tc>
          <w:tcPr>
            <w:tcW w:w="1985" w:type="dxa"/>
            <w:noWrap w:val="0"/>
            <w:vAlign w:val="center"/>
          </w:tcPr>
          <w:p w14:paraId="04F36187">
            <w:pPr>
              <w:spacing w:line="300" w:lineRule="auto"/>
              <w:jc w:val="center"/>
              <w:rPr>
                <w:rFonts w:hint="eastAsia" w:ascii="宋体" w:hAnsi="宋体"/>
                <w:color w:val="auto"/>
                <w:kern w:val="2"/>
                <w:sz w:val="24"/>
                <w:szCs w:val="24"/>
                <w:highlight w:val="none"/>
                <w:lang w:val="en-US" w:eastAsia="zh-CN" w:bidi="ar-SA"/>
              </w:rPr>
            </w:pPr>
            <w:r>
              <w:rPr>
                <w:rFonts w:hint="eastAsia" w:ascii="宋体" w:cs="宋体"/>
                <w:color w:val="auto"/>
                <w:sz w:val="24"/>
                <w:szCs w:val="24"/>
                <w:highlight w:val="none"/>
                <w:lang w:bidi="ar-SA"/>
              </w:rPr>
              <w:t>最高限价和风险控制价</w:t>
            </w:r>
          </w:p>
        </w:tc>
        <w:tc>
          <w:tcPr>
            <w:tcW w:w="7317" w:type="dxa"/>
            <w:noWrap w:val="0"/>
            <w:vAlign w:val="center"/>
          </w:tcPr>
          <w:p w14:paraId="0A54C6E1">
            <w:pPr>
              <w:snapToGrid w:val="0"/>
              <w:spacing w:line="320" w:lineRule="exact"/>
              <w:jc w:val="left"/>
              <w:rPr>
                <w:rFonts w:hint="eastAsia" w:ascii="宋体" w:cs="宋体"/>
                <w:color w:val="auto"/>
                <w:sz w:val="24"/>
                <w:szCs w:val="24"/>
                <w:highlight w:val="none"/>
                <w:lang w:bidi="ar-SA"/>
              </w:rPr>
            </w:pPr>
            <w:r>
              <w:rPr>
                <w:rFonts w:hint="eastAsia" w:ascii="宋体" w:cs="宋体"/>
                <w:color w:val="auto"/>
                <w:sz w:val="24"/>
                <w:szCs w:val="24"/>
                <w:highlight w:val="none"/>
                <w:lang w:bidi="ar-SA"/>
              </w:rPr>
              <w:t>1.本项目投标总价的最高限价为</w:t>
            </w:r>
            <w:r>
              <w:rPr>
                <w:rFonts w:hint="eastAsia" w:ascii="宋体" w:cs="宋体"/>
                <w:color w:val="auto"/>
                <w:sz w:val="24"/>
                <w:szCs w:val="24"/>
                <w:highlight w:val="none"/>
                <w:u w:val="single"/>
                <w:lang w:bidi="ar-SA"/>
              </w:rPr>
              <w:t xml:space="preserve">  </w:t>
            </w:r>
            <w:r>
              <w:rPr>
                <w:rFonts w:hint="eastAsia" w:ascii="宋体" w:cs="宋体"/>
                <w:color w:val="auto"/>
                <w:sz w:val="24"/>
                <w:szCs w:val="24"/>
                <w:highlight w:val="none"/>
                <w:u w:val="single"/>
                <w:lang w:val="en-US" w:eastAsia="zh-CN" w:bidi="ar-SA"/>
              </w:rPr>
              <w:t xml:space="preserve">1300  </w:t>
            </w:r>
            <w:r>
              <w:rPr>
                <w:rFonts w:hint="eastAsia" w:ascii="宋体" w:cs="宋体"/>
                <w:color w:val="auto"/>
                <w:sz w:val="24"/>
                <w:szCs w:val="24"/>
                <w:highlight w:val="none"/>
                <w:u w:val="single"/>
                <w:lang w:bidi="ar-SA"/>
              </w:rPr>
              <w:t xml:space="preserve"> </w:t>
            </w:r>
            <w:r>
              <w:rPr>
                <w:rFonts w:hint="eastAsia" w:ascii="宋体" w:cs="宋体"/>
                <w:color w:val="auto"/>
                <w:sz w:val="24"/>
                <w:szCs w:val="24"/>
                <w:highlight w:val="none"/>
                <w:lang w:bidi="ar-SA"/>
              </w:rPr>
              <w:t>万元，超出最高限价的投标将被否决。</w:t>
            </w:r>
          </w:p>
          <w:p w14:paraId="68E1404E">
            <w:pPr>
              <w:spacing w:line="300" w:lineRule="auto"/>
              <w:rPr>
                <w:rFonts w:hint="eastAsia" w:ascii="宋体" w:hAnsi="宋体" w:eastAsia="宋体"/>
                <w:color w:val="auto"/>
                <w:kern w:val="2"/>
                <w:sz w:val="24"/>
                <w:szCs w:val="24"/>
                <w:highlight w:val="none"/>
                <w:lang w:val="en-US" w:eastAsia="zh-CN" w:bidi="ar-SA"/>
              </w:rPr>
            </w:pPr>
            <w:r>
              <w:rPr>
                <w:rFonts w:hint="eastAsia" w:ascii="宋体" w:cs="宋体"/>
                <w:color w:val="auto"/>
                <w:sz w:val="24"/>
                <w:szCs w:val="24"/>
                <w:highlight w:val="none"/>
                <w:lang w:bidi="ar-SA"/>
              </w:rPr>
              <w:t>2.本项目投标总价的风险控制价为</w:t>
            </w:r>
            <w:r>
              <w:rPr>
                <w:rFonts w:hint="eastAsia" w:ascii="宋体" w:cs="宋体"/>
                <w:color w:val="auto"/>
                <w:sz w:val="24"/>
                <w:szCs w:val="24"/>
                <w:highlight w:val="none"/>
                <w:u w:val="single"/>
                <w:lang w:bidi="ar-SA"/>
              </w:rPr>
              <w:t xml:space="preserve"> </w:t>
            </w:r>
            <w:r>
              <w:rPr>
                <w:rFonts w:hint="eastAsia" w:ascii="宋体" w:cs="宋体"/>
                <w:color w:val="auto"/>
                <w:sz w:val="24"/>
                <w:szCs w:val="24"/>
                <w:highlight w:val="none"/>
                <w:u w:val="single"/>
                <w:lang w:val="en-US" w:eastAsia="zh-CN" w:bidi="ar-SA"/>
              </w:rPr>
              <w:t xml:space="preserve">  1120 </w:t>
            </w:r>
            <w:r>
              <w:rPr>
                <w:rFonts w:hint="eastAsia" w:ascii="宋体" w:cs="宋体"/>
                <w:color w:val="auto"/>
                <w:sz w:val="24"/>
                <w:szCs w:val="24"/>
                <w:highlight w:val="none"/>
                <w:u w:val="single"/>
                <w:lang w:bidi="ar-SA"/>
              </w:rPr>
              <w:t xml:space="preserve"> </w:t>
            </w:r>
            <w:r>
              <w:rPr>
                <w:rFonts w:hint="eastAsia" w:ascii="宋体" w:cs="宋体"/>
                <w:color w:val="auto"/>
                <w:sz w:val="24"/>
                <w:szCs w:val="24"/>
                <w:highlight w:val="none"/>
                <w:lang w:bidi="ar-SA"/>
              </w:rPr>
              <w:t>万元</w:t>
            </w:r>
            <w:r>
              <w:rPr>
                <w:rFonts w:hint="eastAsia" w:ascii="宋体" w:cs="宋体"/>
                <w:color w:val="auto"/>
                <w:sz w:val="24"/>
                <w:szCs w:val="24"/>
                <w:highlight w:val="none"/>
                <w:lang w:eastAsia="zh-CN" w:bidi="ar-SA"/>
              </w:rPr>
              <w:t>。</w:t>
            </w:r>
          </w:p>
        </w:tc>
      </w:tr>
      <w:tr w14:paraId="716671C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460" w:hRule="atLeast"/>
          <w:tblHeader/>
          <w:jc w:val="center"/>
        </w:trPr>
        <w:tc>
          <w:tcPr>
            <w:tcW w:w="1111" w:type="dxa"/>
            <w:noWrap w:val="0"/>
            <w:vAlign w:val="center"/>
          </w:tcPr>
          <w:p w14:paraId="5C83FFFE">
            <w:pPr>
              <w:spacing w:line="300" w:lineRule="auto"/>
              <w:jc w:val="center"/>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w:t>
            </w:r>
            <w:r>
              <w:rPr>
                <w:rFonts w:hint="eastAsia" w:ascii="宋体" w:hAnsi="宋体" w:eastAsia="宋体" w:cs="Times New Roman"/>
                <w:color w:val="auto"/>
                <w:sz w:val="24"/>
                <w:szCs w:val="24"/>
                <w:highlight w:val="none"/>
                <w:lang w:val="en-US" w:eastAsia="zh-CN"/>
              </w:rPr>
              <w:t>4</w:t>
            </w:r>
          </w:p>
        </w:tc>
        <w:tc>
          <w:tcPr>
            <w:tcW w:w="1985" w:type="dxa"/>
            <w:noWrap w:val="0"/>
            <w:vAlign w:val="center"/>
          </w:tcPr>
          <w:p w14:paraId="02064665">
            <w:pPr>
              <w:spacing w:line="300" w:lineRule="auto"/>
              <w:jc w:val="center"/>
              <w:rPr>
                <w:color w:val="auto"/>
                <w:sz w:val="24"/>
                <w:szCs w:val="24"/>
                <w:highlight w:val="none"/>
              </w:rPr>
            </w:pPr>
            <w:r>
              <w:rPr>
                <w:rFonts w:hint="eastAsia" w:hAnsi="宋体"/>
                <w:color w:val="auto"/>
                <w:sz w:val="24"/>
                <w:szCs w:val="24"/>
                <w:highlight w:val="none"/>
                <w:lang w:val="en-US" w:eastAsia="zh-CN"/>
              </w:rPr>
              <w:t>合同价格形式</w:t>
            </w:r>
          </w:p>
        </w:tc>
        <w:tc>
          <w:tcPr>
            <w:tcW w:w="7317" w:type="dxa"/>
            <w:noWrap w:val="0"/>
            <w:vAlign w:val="center"/>
          </w:tcPr>
          <w:p w14:paraId="20BA80FE">
            <w:pPr>
              <w:spacing w:line="300" w:lineRule="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固定单价合同</w:t>
            </w:r>
          </w:p>
        </w:tc>
      </w:tr>
      <w:tr w14:paraId="6D885AE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865" w:hRule="atLeast"/>
          <w:tblHeader/>
          <w:jc w:val="center"/>
        </w:trPr>
        <w:tc>
          <w:tcPr>
            <w:tcW w:w="1111" w:type="dxa"/>
            <w:noWrap w:val="0"/>
            <w:vAlign w:val="center"/>
          </w:tcPr>
          <w:p w14:paraId="38AE7619">
            <w:pPr>
              <w:spacing w:line="300" w:lineRule="auto"/>
              <w:jc w:val="center"/>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35</w:t>
            </w:r>
          </w:p>
        </w:tc>
        <w:tc>
          <w:tcPr>
            <w:tcW w:w="1985" w:type="dxa"/>
            <w:noWrap w:val="0"/>
            <w:vAlign w:val="center"/>
          </w:tcPr>
          <w:p w14:paraId="1A0C1153">
            <w:pPr>
              <w:spacing w:line="300" w:lineRule="auto"/>
              <w:jc w:val="center"/>
              <w:rPr>
                <w:rFonts w:hint="default" w:hAnsi="宋体" w:eastAsia="宋体"/>
                <w:color w:val="auto"/>
                <w:sz w:val="24"/>
                <w:szCs w:val="24"/>
                <w:highlight w:val="none"/>
                <w:lang w:val="en-US" w:eastAsia="zh-CN"/>
              </w:rPr>
            </w:pPr>
            <w:r>
              <w:rPr>
                <w:rFonts w:hint="default" w:hAnsi="宋体" w:eastAsia="宋体"/>
                <w:color w:val="auto"/>
                <w:sz w:val="24"/>
                <w:szCs w:val="24"/>
                <w:highlight w:val="none"/>
                <w:lang w:val="en-US" w:eastAsia="zh-CN"/>
              </w:rPr>
              <w:t>是否授权评标委</w:t>
            </w:r>
          </w:p>
          <w:p w14:paraId="7DCBBE26">
            <w:pPr>
              <w:spacing w:line="300" w:lineRule="auto"/>
              <w:jc w:val="center"/>
              <w:rPr>
                <w:rFonts w:hint="default" w:hAnsi="宋体" w:eastAsia="宋体"/>
                <w:color w:val="auto"/>
                <w:sz w:val="24"/>
                <w:szCs w:val="24"/>
                <w:highlight w:val="none"/>
                <w:lang w:val="en-US" w:eastAsia="zh-CN"/>
              </w:rPr>
            </w:pPr>
            <w:r>
              <w:rPr>
                <w:rFonts w:hint="default" w:hAnsi="宋体" w:eastAsia="宋体"/>
                <w:color w:val="auto"/>
                <w:sz w:val="24"/>
                <w:szCs w:val="24"/>
                <w:highlight w:val="none"/>
                <w:lang w:val="en-US" w:eastAsia="zh-CN"/>
              </w:rPr>
              <w:t>员会确定中标人</w:t>
            </w:r>
          </w:p>
        </w:tc>
        <w:tc>
          <w:tcPr>
            <w:tcW w:w="7317" w:type="dxa"/>
            <w:noWrap w:val="0"/>
            <w:vAlign w:val="center"/>
          </w:tcPr>
          <w:p w14:paraId="22D1A131">
            <w:pPr>
              <w:spacing w:line="300" w:lineRule="auto"/>
              <w:rPr>
                <w:rFonts w:hint="eastAsia" w:ascii="宋体" w:hAnsi="宋体" w:eastAsia="宋体"/>
                <w:color w:val="auto"/>
                <w:kern w:val="2"/>
                <w:sz w:val="24"/>
                <w:szCs w:val="24"/>
                <w:highlight w:val="none"/>
                <w:lang w:val="en-US" w:eastAsia="zh-CN" w:bidi="ar-SA"/>
              </w:rPr>
            </w:pPr>
            <w:r>
              <w:rPr>
                <w:rFonts w:hint="eastAsia" w:ascii="宋体" w:hAnsi="宋体" w:eastAsia="宋体"/>
                <w:color w:val="auto"/>
                <w:kern w:val="2"/>
                <w:sz w:val="24"/>
                <w:szCs w:val="24"/>
                <w:highlight w:val="none"/>
                <w:lang w:val="en-US" w:eastAsia="zh-CN" w:bidi="ar-SA"/>
              </w:rPr>
              <w:t>是，中标候选人数：1 家。</w:t>
            </w:r>
          </w:p>
          <w:p w14:paraId="48190C9A">
            <w:pPr>
              <w:spacing w:line="300" w:lineRule="auto"/>
              <w:rPr>
                <w:rFonts w:hint="default" w:ascii="宋体" w:hAnsi="宋体" w:eastAsia="宋体"/>
                <w:color w:val="auto"/>
                <w:sz w:val="24"/>
                <w:szCs w:val="24"/>
                <w:highlight w:val="none"/>
                <w:lang w:val="en-US" w:eastAsia="zh-CN"/>
              </w:rPr>
            </w:pPr>
          </w:p>
        </w:tc>
      </w:tr>
      <w:tr w14:paraId="3D68B03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11" w:type="dxa"/>
            <w:noWrap w:val="0"/>
            <w:vAlign w:val="center"/>
          </w:tcPr>
          <w:p w14:paraId="2BF063C2">
            <w:pPr>
              <w:spacing w:line="300" w:lineRule="auto"/>
              <w:jc w:val="center"/>
              <w:rPr>
                <w:rFonts w:hint="default" w:ascii="宋体" w:hAnsi="宋体" w:eastAsia="宋体" w:cs="Times New Roman"/>
                <w:color w:val="auto"/>
                <w:kern w:val="2"/>
                <w:sz w:val="24"/>
                <w:szCs w:val="24"/>
                <w:highlight w:val="none"/>
                <w:lang w:val="en-US" w:eastAsia="zh-CN" w:bidi="ar-SA"/>
              </w:rPr>
            </w:pPr>
            <w:r>
              <w:rPr>
                <w:rFonts w:hint="eastAsia" w:ascii="宋体" w:hAnsi="宋体" w:eastAsia="宋体" w:cs="Times New Roman"/>
                <w:color w:val="auto"/>
                <w:sz w:val="24"/>
                <w:szCs w:val="24"/>
                <w:highlight w:val="none"/>
                <w:lang w:val="en-US" w:eastAsia="zh-CN"/>
              </w:rPr>
              <w:t>36</w:t>
            </w:r>
          </w:p>
        </w:tc>
        <w:tc>
          <w:tcPr>
            <w:tcW w:w="1985" w:type="dxa"/>
            <w:noWrap w:val="0"/>
            <w:vAlign w:val="center"/>
          </w:tcPr>
          <w:p w14:paraId="153DF728">
            <w:pPr>
              <w:spacing w:line="300" w:lineRule="auto"/>
              <w:jc w:val="center"/>
              <w:rPr>
                <w:rFonts w:hint="eastAsia" w:hAnsi="宋体" w:eastAsia="宋体"/>
                <w:color w:val="auto"/>
                <w:kern w:val="2"/>
                <w:sz w:val="24"/>
                <w:szCs w:val="24"/>
                <w:highlight w:val="none"/>
                <w:lang w:val="en-US" w:eastAsia="zh-CN" w:bidi="ar-SA"/>
              </w:rPr>
            </w:pPr>
            <w:r>
              <w:rPr>
                <w:rFonts w:hint="eastAsia" w:ascii="宋体" w:hAnsi="宋体" w:eastAsia="宋体" w:cs="Times New Roman"/>
                <w:color w:val="auto"/>
                <w:sz w:val="24"/>
                <w:szCs w:val="24"/>
                <w:highlight w:val="none"/>
                <w:lang w:val="zh-CN" w:eastAsia="zh-CN"/>
              </w:rPr>
              <w:t>评标委员会的组建</w:t>
            </w:r>
          </w:p>
        </w:tc>
        <w:tc>
          <w:tcPr>
            <w:tcW w:w="7317" w:type="dxa"/>
            <w:noWrap w:val="0"/>
            <w:vAlign w:val="center"/>
          </w:tcPr>
          <w:p w14:paraId="7E6BF445">
            <w:pPr>
              <w:spacing w:line="300" w:lineRule="auto"/>
              <w:rPr>
                <w:rFonts w:hint="eastAsia" w:ascii="宋体" w:hAnsi="宋体" w:eastAsia="宋体"/>
                <w:color w:val="auto"/>
                <w:kern w:val="2"/>
                <w:sz w:val="24"/>
                <w:szCs w:val="24"/>
                <w:highlight w:val="none"/>
                <w:lang w:val="en-US" w:eastAsia="zh-CN" w:bidi="ar-SA"/>
              </w:rPr>
            </w:pPr>
            <w:r>
              <w:rPr>
                <w:rFonts w:hint="eastAsia" w:ascii="宋体" w:hAnsi="宋体" w:eastAsia="宋体" w:cs="Times New Roman"/>
                <w:color w:val="auto"/>
                <w:sz w:val="24"/>
                <w:szCs w:val="24"/>
                <w:highlight w:val="none"/>
                <w:lang w:val="zh-CN" w:eastAsia="zh-CN"/>
              </w:rPr>
              <w:t>评标专家确定方式：依法抽取，</w:t>
            </w:r>
            <w:r>
              <w:rPr>
                <w:rFonts w:hint="eastAsia" w:ascii="宋体" w:hAnsi="宋体" w:eastAsia="宋体" w:cs="Times New Roman"/>
                <w:color w:val="auto"/>
                <w:sz w:val="24"/>
                <w:szCs w:val="24"/>
                <w:highlight w:val="none"/>
                <w:lang w:val="en-US" w:eastAsia="zh-CN"/>
              </w:rPr>
              <w:t>评标委员会成员为5人，其中</w:t>
            </w:r>
            <w:r>
              <w:rPr>
                <w:rFonts w:hint="eastAsia" w:ascii="宋体" w:hAnsi="宋体" w:eastAsia="宋体" w:cs="Times New Roman"/>
                <w:color w:val="auto"/>
                <w:sz w:val="24"/>
                <w:szCs w:val="24"/>
                <w:highlight w:val="none"/>
                <w:lang w:val="zh-CN" w:eastAsia="zh-CN"/>
              </w:rPr>
              <w:t>招标人代表</w:t>
            </w:r>
            <w:r>
              <w:rPr>
                <w:rFonts w:hint="eastAsia" w:ascii="宋体" w:hAnsi="宋体" w:eastAsia="宋体" w:cs="Times New Roman"/>
                <w:color w:val="auto"/>
                <w:sz w:val="24"/>
                <w:szCs w:val="24"/>
                <w:highlight w:val="none"/>
                <w:lang w:val="en-US" w:eastAsia="zh-CN"/>
              </w:rPr>
              <w:t>1人。</w:t>
            </w:r>
          </w:p>
        </w:tc>
      </w:tr>
      <w:tr w14:paraId="10D00FA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11" w:type="dxa"/>
            <w:noWrap w:val="0"/>
            <w:vAlign w:val="center"/>
          </w:tcPr>
          <w:p w14:paraId="55A01E91">
            <w:pPr>
              <w:spacing w:line="300" w:lineRule="auto"/>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37</w:t>
            </w:r>
          </w:p>
        </w:tc>
        <w:tc>
          <w:tcPr>
            <w:tcW w:w="1985" w:type="dxa"/>
            <w:noWrap w:val="0"/>
            <w:vAlign w:val="center"/>
          </w:tcPr>
          <w:p w14:paraId="5516FD75">
            <w:pPr>
              <w:spacing w:line="300" w:lineRule="auto"/>
              <w:jc w:val="center"/>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定标方法</w:t>
            </w:r>
          </w:p>
        </w:tc>
        <w:tc>
          <w:tcPr>
            <w:tcW w:w="7317" w:type="dxa"/>
            <w:noWrap w:val="0"/>
            <w:vAlign w:val="center"/>
          </w:tcPr>
          <w:p w14:paraId="295AF5E7">
            <w:pPr>
              <w:spacing w:line="300" w:lineRule="auto"/>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评标办法采用综合评分法，技术评审分</w:t>
            </w:r>
            <w:r>
              <w:rPr>
                <w:rFonts w:hint="eastAsia" w:ascii="宋体" w:hAnsi="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lang w:val="en-US" w:eastAsia="zh-CN"/>
              </w:rPr>
              <w:t>分，商务评分</w:t>
            </w:r>
            <w:r>
              <w:rPr>
                <w:rFonts w:hint="eastAsia" w:ascii="宋体" w:hAnsi="宋体" w:cs="Times New Roman"/>
                <w:color w:val="auto"/>
                <w:sz w:val="24"/>
                <w:szCs w:val="24"/>
                <w:highlight w:val="none"/>
                <w:lang w:val="en-US" w:eastAsia="zh-CN"/>
              </w:rPr>
              <w:t>70</w:t>
            </w:r>
            <w:r>
              <w:rPr>
                <w:rFonts w:hint="eastAsia" w:ascii="宋体" w:hAnsi="宋体" w:eastAsia="宋体" w:cs="Times New Roman"/>
                <w:color w:val="auto"/>
                <w:sz w:val="24"/>
                <w:szCs w:val="24"/>
                <w:highlight w:val="none"/>
                <w:lang w:val="en-US" w:eastAsia="zh-CN"/>
              </w:rPr>
              <w:t>分。按综合评分最高确定中标供应商1家</w:t>
            </w:r>
          </w:p>
          <w:p w14:paraId="6983FBED">
            <w:pPr>
              <w:spacing w:line="300" w:lineRule="auto"/>
              <w:rPr>
                <w:rFonts w:hint="eastAsia" w:ascii="宋体" w:hAnsi="宋体" w:eastAsia="宋体" w:cs="Times New Roman"/>
                <w:color w:val="auto"/>
                <w:sz w:val="24"/>
                <w:szCs w:val="24"/>
                <w:highlight w:val="none"/>
                <w:lang w:val="en-US" w:eastAsia="zh-CN"/>
              </w:rPr>
            </w:pPr>
          </w:p>
        </w:tc>
      </w:tr>
      <w:tr w14:paraId="57A68BD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11" w:type="dxa"/>
            <w:noWrap w:val="0"/>
            <w:vAlign w:val="center"/>
          </w:tcPr>
          <w:p w14:paraId="71C770BE">
            <w:pPr>
              <w:spacing w:line="300" w:lineRule="auto"/>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38</w:t>
            </w:r>
          </w:p>
        </w:tc>
        <w:tc>
          <w:tcPr>
            <w:tcW w:w="1985" w:type="dxa"/>
            <w:noWrap w:val="0"/>
            <w:vAlign w:val="center"/>
          </w:tcPr>
          <w:p w14:paraId="0506EAED">
            <w:pPr>
              <w:spacing w:line="300" w:lineRule="auto"/>
              <w:jc w:val="center"/>
              <w:rPr>
                <w:rFonts w:hint="eastAsia" w:ascii="宋体" w:hAnsi="宋体" w:eastAsia="宋体" w:cs="Times New Roman"/>
                <w:color w:val="auto"/>
                <w:sz w:val="24"/>
                <w:szCs w:val="24"/>
                <w:highlight w:val="none"/>
                <w:lang w:val="en-US" w:eastAsia="zh-CN"/>
              </w:rPr>
            </w:pPr>
            <w:r>
              <w:rPr>
                <w:rFonts w:hint="eastAsia" w:hAnsi="宋体" w:eastAsia="宋体"/>
                <w:color w:val="auto"/>
                <w:kern w:val="2"/>
                <w:sz w:val="24"/>
                <w:szCs w:val="24"/>
                <w:highlight w:val="none"/>
                <w:lang w:val="en-US" w:eastAsia="zh-CN" w:bidi="ar-SA"/>
              </w:rPr>
              <w:t>签订合同</w:t>
            </w:r>
          </w:p>
        </w:tc>
        <w:tc>
          <w:tcPr>
            <w:tcW w:w="7317" w:type="dxa"/>
            <w:noWrap w:val="0"/>
            <w:vAlign w:val="center"/>
          </w:tcPr>
          <w:p w14:paraId="7F40ED4F">
            <w:pPr>
              <w:spacing w:line="300" w:lineRule="auto"/>
              <w:rPr>
                <w:rFonts w:hint="eastAsia" w:ascii="宋体" w:hAnsi="宋体" w:eastAsia="宋体" w:cs="Times New Roman"/>
                <w:color w:val="auto"/>
                <w:sz w:val="24"/>
                <w:szCs w:val="24"/>
                <w:highlight w:val="none"/>
                <w:lang w:val="en-US" w:eastAsia="zh-CN"/>
              </w:rPr>
            </w:pPr>
            <w:r>
              <w:rPr>
                <w:rFonts w:hint="eastAsia" w:ascii="宋体" w:hAnsi="宋体" w:eastAsia="宋体"/>
                <w:color w:val="auto"/>
                <w:kern w:val="2"/>
                <w:sz w:val="24"/>
                <w:szCs w:val="24"/>
                <w:highlight w:val="none"/>
                <w:lang w:val="en-US" w:eastAsia="zh-CN" w:bidi="ar-SA"/>
              </w:rPr>
              <w:t>中标人在收到中标通知书后3天内，应派代表与招标人联系，商讨签订合同事宜。</w:t>
            </w:r>
          </w:p>
        </w:tc>
      </w:tr>
      <w:tr w14:paraId="2FF9B8EE">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blHeader/>
          <w:jc w:val="center"/>
        </w:trPr>
        <w:tc>
          <w:tcPr>
            <w:tcW w:w="1111" w:type="dxa"/>
            <w:noWrap w:val="0"/>
            <w:vAlign w:val="center"/>
          </w:tcPr>
          <w:p w14:paraId="0FC02F68">
            <w:pPr>
              <w:spacing w:line="300" w:lineRule="auto"/>
              <w:jc w:val="center"/>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39</w:t>
            </w:r>
          </w:p>
        </w:tc>
        <w:tc>
          <w:tcPr>
            <w:tcW w:w="1985" w:type="dxa"/>
            <w:noWrap w:val="0"/>
            <w:vAlign w:val="center"/>
          </w:tcPr>
          <w:p w14:paraId="0F461EA9">
            <w:pPr>
              <w:spacing w:line="300" w:lineRule="auto"/>
              <w:jc w:val="center"/>
              <w:rPr>
                <w:rFonts w:hint="default" w:hAnsi="宋体" w:eastAsia="宋体"/>
                <w:color w:val="auto"/>
                <w:kern w:val="2"/>
                <w:sz w:val="24"/>
                <w:szCs w:val="24"/>
                <w:highlight w:val="none"/>
                <w:lang w:val="en-US" w:eastAsia="zh-CN" w:bidi="ar-SA"/>
              </w:rPr>
            </w:pPr>
            <w:r>
              <w:rPr>
                <w:rFonts w:hint="eastAsia" w:ascii="宋体" w:hAnsi="宋体"/>
                <w:color w:val="auto"/>
                <w:sz w:val="24"/>
                <w:szCs w:val="24"/>
                <w:highlight w:val="none"/>
              </w:rPr>
              <w:t>招标代理服务费</w:t>
            </w:r>
          </w:p>
        </w:tc>
        <w:tc>
          <w:tcPr>
            <w:tcW w:w="7317" w:type="dxa"/>
            <w:noWrap w:val="0"/>
            <w:vAlign w:val="center"/>
          </w:tcPr>
          <w:p w14:paraId="453968DC">
            <w:pPr>
              <w:pStyle w:val="13"/>
              <w:spacing w:line="360" w:lineRule="auto"/>
              <w:rPr>
                <w:rFonts w:hint="eastAsia" w:hAnsi="宋体"/>
                <w:color w:val="auto"/>
                <w:sz w:val="24"/>
                <w:szCs w:val="24"/>
                <w:highlight w:val="none"/>
              </w:rPr>
            </w:pPr>
            <w:r>
              <w:rPr>
                <w:rFonts w:hint="eastAsia" w:hAnsi="宋体"/>
                <w:color w:val="auto"/>
                <w:sz w:val="24"/>
                <w:szCs w:val="24"/>
                <w:highlight w:val="none"/>
              </w:rPr>
              <w:t>按国家计委关于印发《招标代理服务收费管理暂行办法》的通知价格【2002】1980号文件规定50%计费。不足肆仟按肆仟计。</w:t>
            </w:r>
          </w:p>
          <w:p w14:paraId="74E8E377">
            <w:pPr>
              <w:pStyle w:val="13"/>
              <w:spacing w:line="360" w:lineRule="auto"/>
              <w:rPr>
                <w:rFonts w:hint="eastAsia" w:ascii="宋体" w:hAnsi="宋体" w:eastAsia="宋体"/>
                <w:color w:val="auto"/>
                <w:kern w:val="2"/>
                <w:sz w:val="24"/>
                <w:szCs w:val="24"/>
                <w:highlight w:val="none"/>
                <w:lang w:val="en-US" w:eastAsia="zh-CN" w:bidi="ar-SA"/>
              </w:rPr>
            </w:pPr>
            <w:r>
              <w:rPr>
                <w:rFonts w:hint="eastAsia" w:hAnsi="宋体"/>
                <w:color w:val="auto"/>
                <w:sz w:val="24"/>
                <w:szCs w:val="24"/>
                <w:highlight w:val="none"/>
              </w:rPr>
              <w:t>在报价表中不单列报价子项，由投标人自行在企业运营成本等或各单价中分摊。</w:t>
            </w:r>
          </w:p>
        </w:tc>
      </w:tr>
      <w:tr w14:paraId="67EA063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2300" w:hRule="exact"/>
          <w:tblHeader/>
          <w:jc w:val="center"/>
        </w:trPr>
        <w:tc>
          <w:tcPr>
            <w:tcW w:w="1111" w:type="dxa"/>
            <w:noWrap w:val="0"/>
            <w:vAlign w:val="center"/>
          </w:tcPr>
          <w:p w14:paraId="0EADD8E4">
            <w:pPr>
              <w:spacing w:line="300" w:lineRule="auto"/>
              <w:jc w:val="center"/>
              <w:rPr>
                <w:rFonts w:hint="default"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41</w:t>
            </w:r>
          </w:p>
        </w:tc>
        <w:tc>
          <w:tcPr>
            <w:tcW w:w="1985" w:type="dxa"/>
            <w:noWrap w:val="0"/>
            <w:vAlign w:val="center"/>
          </w:tcPr>
          <w:p w14:paraId="5269BCEC">
            <w:pPr>
              <w:spacing w:line="300" w:lineRule="auto"/>
              <w:jc w:val="center"/>
              <w:rPr>
                <w:rFonts w:hint="eastAsia" w:ascii="宋体" w:hAnsi="宋体"/>
                <w:color w:val="auto"/>
                <w:sz w:val="24"/>
                <w:szCs w:val="24"/>
                <w:highlight w:val="none"/>
              </w:rPr>
            </w:pPr>
            <w:r>
              <w:rPr>
                <w:rFonts w:hint="eastAsia" w:ascii="宋体" w:hAnsi="宋体"/>
                <w:color w:val="auto"/>
                <w:sz w:val="24"/>
                <w:szCs w:val="24"/>
                <w:highlight w:val="none"/>
              </w:rPr>
              <w:t>技术要求</w:t>
            </w:r>
          </w:p>
        </w:tc>
        <w:tc>
          <w:tcPr>
            <w:tcW w:w="7317" w:type="dxa"/>
            <w:noWrap w:val="0"/>
            <w:vAlign w:val="center"/>
          </w:tcPr>
          <w:p w14:paraId="797E2AB2">
            <w:pPr>
              <w:spacing w:line="300" w:lineRule="auto"/>
              <w:rPr>
                <w:rFonts w:hint="eastAsia"/>
                <w:color w:val="auto"/>
                <w:sz w:val="24"/>
                <w:szCs w:val="24"/>
                <w:highlight w:val="none"/>
              </w:rPr>
            </w:pPr>
            <w:r>
              <w:rPr>
                <w:rFonts w:ascii="宋体" w:hAnsi="宋体"/>
                <w:color w:val="auto"/>
                <w:sz w:val="24"/>
                <w:szCs w:val="24"/>
                <w:highlight w:val="none"/>
              </w:rPr>
              <w:t>本项目招标文件中（含技术要求）所列技术要求或参考规格型号技术标准为技术基础，应满足其功能要求，关键技术参数应与招标文件技术要求一致（或高于标书所列技术要求）；招标文件中如涉及到“某些品牌”或“某些厂家”的要求，均不作为限制性的必须的要求，投标人可提供参照或相当于该品牌或厂家性能质量标准的其他产品。</w:t>
            </w:r>
          </w:p>
        </w:tc>
      </w:tr>
      <w:tr w14:paraId="28E35BB4">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086" w:hRule="exact"/>
          <w:jc w:val="center"/>
        </w:trPr>
        <w:tc>
          <w:tcPr>
            <w:tcW w:w="1111" w:type="dxa"/>
            <w:tcBorders>
              <w:bottom w:val="single" w:color="auto" w:sz="2" w:space="0"/>
            </w:tcBorders>
            <w:noWrap w:val="0"/>
            <w:vAlign w:val="center"/>
          </w:tcPr>
          <w:p w14:paraId="7AE7A4C5">
            <w:pPr>
              <w:spacing w:line="300" w:lineRule="auto"/>
              <w:jc w:val="center"/>
              <w:rPr>
                <w:rFonts w:hint="default"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42</w:t>
            </w:r>
          </w:p>
        </w:tc>
        <w:tc>
          <w:tcPr>
            <w:tcW w:w="1985" w:type="dxa"/>
            <w:tcBorders>
              <w:bottom w:val="single" w:color="auto" w:sz="2" w:space="0"/>
            </w:tcBorders>
            <w:noWrap w:val="0"/>
            <w:vAlign w:val="center"/>
          </w:tcPr>
          <w:p w14:paraId="5FEE62C7">
            <w:pPr>
              <w:spacing w:line="300" w:lineRule="auto"/>
              <w:jc w:val="center"/>
              <w:rPr>
                <w:rFonts w:hint="eastAsia" w:ascii="宋体" w:hAnsi="宋体"/>
                <w:color w:val="auto"/>
                <w:sz w:val="24"/>
                <w:szCs w:val="24"/>
                <w:highlight w:val="none"/>
              </w:rPr>
            </w:pPr>
            <w:r>
              <w:rPr>
                <w:rFonts w:hint="eastAsia" w:ascii="宋体" w:hAnsi="宋体" w:eastAsia="宋体" w:cs="Times New Roman"/>
                <w:color w:val="auto"/>
                <w:sz w:val="24"/>
                <w:szCs w:val="24"/>
                <w:highlight w:val="none"/>
                <w:lang w:eastAsia="zh-CN"/>
              </w:rPr>
              <w:t>中标公示</w:t>
            </w:r>
          </w:p>
        </w:tc>
        <w:tc>
          <w:tcPr>
            <w:tcW w:w="7317" w:type="dxa"/>
            <w:tcBorders>
              <w:bottom w:val="single" w:color="auto" w:sz="2" w:space="0"/>
            </w:tcBorders>
            <w:noWrap w:val="0"/>
            <w:vAlign w:val="center"/>
          </w:tcPr>
          <w:p w14:paraId="294F2123">
            <w:pPr>
              <w:spacing w:line="300" w:lineRule="auto"/>
              <w:rPr>
                <w:rFonts w:hint="eastAsia" w:ascii="宋体" w:hAnsi="宋体"/>
                <w:color w:val="auto"/>
                <w:sz w:val="24"/>
                <w:szCs w:val="24"/>
                <w:highlight w:val="none"/>
              </w:rPr>
            </w:pPr>
            <w:r>
              <w:rPr>
                <w:rFonts w:hint="eastAsia" w:ascii="宋体" w:hAnsi="宋体" w:eastAsia="宋体" w:cs="Times New Roman"/>
                <w:color w:val="auto"/>
                <w:sz w:val="24"/>
                <w:szCs w:val="24"/>
                <w:highlight w:val="none"/>
              </w:rPr>
              <w:t>在中标通知书发出前，招标人将中标人的情况在巨化数字化招采平台（https://juhua.ccccnet.com/#/）予以公示，公示期为3个日历天。</w:t>
            </w:r>
          </w:p>
        </w:tc>
      </w:tr>
      <w:tr w14:paraId="2FBC6B3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056" w:hRule="exact"/>
          <w:jc w:val="center"/>
        </w:trPr>
        <w:tc>
          <w:tcPr>
            <w:tcW w:w="1111" w:type="dxa"/>
            <w:tcBorders>
              <w:top w:val="single" w:color="auto" w:sz="2" w:space="0"/>
              <w:left w:val="single" w:color="auto" w:sz="12" w:space="0"/>
              <w:bottom w:val="single" w:color="auto" w:sz="2" w:space="0"/>
              <w:right w:val="single" w:color="auto" w:sz="2" w:space="0"/>
            </w:tcBorders>
            <w:noWrap w:val="0"/>
            <w:vAlign w:val="center"/>
          </w:tcPr>
          <w:p w14:paraId="36CBC9E6">
            <w:pPr>
              <w:spacing w:line="300" w:lineRule="auto"/>
              <w:jc w:val="center"/>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43</w:t>
            </w:r>
          </w:p>
        </w:tc>
        <w:tc>
          <w:tcPr>
            <w:tcW w:w="1985" w:type="dxa"/>
            <w:tcBorders>
              <w:top w:val="single" w:color="auto" w:sz="2" w:space="0"/>
              <w:left w:val="single" w:color="auto" w:sz="2" w:space="0"/>
              <w:bottom w:val="single" w:color="auto" w:sz="2" w:space="0"/>
              <w:right w:val="single" w:color="auto" w:sz="2" w:space="0"/>
            </w:tcBorders>
            <w:noWrap w:val="0"/>
            <w:vAlign w:val="center"/>
          </w:tcPr>
          <w:p w14:paraId="4BBF382E">
            <w:pPr>
              <w:spacing w:line="300" w:lineRule="auto"/>
              <w:jc w:val="center"/>
              <w:rPr>
                <w:rFonts w:hint="eastAsia" w:ascii="宋体" w:hAnsi="宋体" w:eastAsia="宋体" w:cs="Times New Roman"/>
                <w:color w:val="auto"/>
                <w:sz w:val="24"/>
                <w:szCs w:val="24"/>
                <w:highlight w:val="none"/>
              </w:rPr>
            </w:pPr>
            <w:r>
              <w:rPr>
                <w:rFonts w:ascii="宋体" w:hAnsi="宋体" w:eastAsia="宋体" w:cs="Times New Roman"/>
                <w:color w:val="auto"/>
                <w:sz w:val="24"/>
                <w:szCs w:val="24"/>
                <w:highlight w:val="none"/>
              </w:rPr>
              <w:t>解释权</w:t>
            </w:r>
          </w:p>
        </w:tc>
        <w:tc>
          <w:tcPr>
            <w:tcW w:w="7317" w:type="dxa"/>
            <w:tcBorders>
              <w:top w:val="single" w:color="auto" w:sz="2" w:space="0"/>
              <w:left w:val="single" w:color="auto" w:sz="2" w:space="0"/>
              <w:bottom w:val="single" w:color="auto" w:sz="2" w:space="0"/>
              <w:right w:val="single" w:color="auto" w:sz="12" w:space="0"/>
            </w:tcBorders>
            <w:noWrap w:val="0"/>
            <w:vAlign w:val="center"/>
          </w:tcPr>
          <w:p w14:paraId="346AD7C1">
            <w:pPr>
              <w:spacing w:line="300" w:lineRule="auto"/>
              <w:rPr>
                <w:rFonts w:ascii="宋体" w:hAnsi="宋体" w:eastAsia="宋体" w:cs="Times New Roman"/>
                <w:color w:val="auto"/>
                <w:sz w:val="24"/>
                <w:szCs w:val="24"/>
                <w:highlight w:val="none"/>
              </w:rPr>
            </w:pPr>
            <w:r>
              <w:rPr>
                <w:rFonts w:ascii="宋体" w:hAnsi="宋体" w:eastAsia="宋体" w:cs="Times New Roman"/>
                <w:color w:val="auto"/>
                <w:sz w:val="24"/>
                <w:szCs w:val="24"/>
                <w:highlight w:val="none"/>
              </w:rPr>
              <w:t>本招标文件的解释权属于招标人和招标代理机构。</w:t>
            </w:r>
          </w:p>
        </w:tc>
      </w:tr>
      <w:tr w14:paraId="2A136AC8">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108" w:type="dxa"/>
            <w:bottom w:w="0" w:type="dxa"/>
            <w:right w:w="108" w:type="dxa"/>
          </w:tblCellMar>
        </w:tblPrEx>
        <w:trPr>
          <w:trHeight w:val="1016" w:hRule="exact"/>
          <w:jc w:val="center"/>
        </w:trPr>
        <w:tc>
          <w:tcPr>
            <w:tcW w:w="1111" w:type="dxa"/>
            <w:tcBorders>
              <w:top w:val="single" w:color="auto" w:sz="2" w:space="0"/>
              <w:left w:val="single" w:color="auto" w:sz="12" w:space="0"/>
              <w:bottom w:val="single" w:color="auto" w:sz="12" w:space="0"/>
              <w:right w:val="single" w:color="auto" w:sz="2" w:space="0"/>
            </w:tcBorders>
            <w:noWrap w:val="0"/>
            <w:vAlign w:val="center"/>
          </w:tcPr>
          <w:p w14:paraId="077F707B">
            <w:pPr>
              <w:spacing w:line="300" w:lineRule="auto"/>
              <w:jc w:val="center"/>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44</w:t>
            </w:r>
          </w:p>
        </w:tc>
        <w:tc>
          <w:tcPr>
            <w:tcW w:w="9302" w:type="dxa"/>
            <w:gridSpan w:val="2"/>
            <w:tcBorders>
              <w:top w:val="single" w:color="auto" w:sz="2" w:space="0"/>
              <w:left w:val="single" w:color="auto" w:sz="2" w:space="0"/>
              <w:bottom w:val="single" w:color="auto" w:sz="12" w:space="0"/>
              <w:right w:val="single" w:color="auto" w:sz="12" w:space="0"/>
            </w:tcBorders>
            <w:noWrap w:val="0"/>
            <w:vAlign w:val="center"/>
          </w:tcPr>
          <w:p w14:paraId="3B07F8B4">
            <w:pPr>
              <w:spacing w:line="300" w:lineRule="auto"/>
              <w:rPr>
                <w:rFonts w:hint="eastAsia" w:ascii="宋体" w:hAnsi="宋体" w:eastAsia="宋体" w:cs="Times New Roman"/>
                <w:color w:val="auto"/>
                <w:sz w:val="24"/>
                <w:szCs w:val="24"/>
                <w:highlight w:val="none"/>
                <w:lang w:val="en-US" w:eastAsia="zh-CN"/>
              </w:rPr>
            </w:pPr>
            <w:r>
              <w:rPr>
                <w:rFonts w:hint="eastAsia" w:ascii="宋体"/>
                <w:color w:val="auto"/>
                <w:kern w:val="0"/>
                <w:sz w:val="24"/>
                <w:szCs w:val="24"/>
                <w:highlight w:val="none"/>
              </w:rPr>
              <w:t>承包方式：</w:t>
            </w:r>
            <w:r>
              <w:rPr>
                <w:rFonts w:hint="eastAsia" w:ascii="宋体" w:hAnsi="宋体"/>
                <w:color w:val="auto"/>
                <w:sz w:val="24"/>
                <w:szCs w:val="24"/>
                <w:highlight w:val="none"/>
              </w:rPr>
              <w:t>施工总承包</w:t>
            </w:r>
            <w:r>
              <w:rPr>
                <w:rFonts w:hint="eastAsia" w:ascii="仿宋_GB2312" w:hAnsi="Times New Roman"/>
                <w:b/>
                <w:color w:val="auto"/>
                <w:sz w:val="24"/>
                <w:szCs w:val="24"/>
                <w:highlight w:val="none"/>
              </w:rPr>
              <w:t>（</w:t>
            </w:r>
            <w:r>
              <w:rPr>
                <w:rFonts w:hint="eastAsia" w:ascii="仿宋_GB2312" w:hAnsi="Times New Roman"/>
                <w:b/>
                <w:color w:val="auto"/>
                <w:sz w:val="24"/>
                <w:szCs w:val="24"/>
                <w:highlight w:val="none"/>
                <w:lang w:val="en-US" w:eastAsia="zh-CN"/>
              </w:rPr>
              <w:t>尾矿库闭库</w:t>
            </w:r>
            <w:r>
              <w:rPr>
                <w:rFonts w:ascii="仿宋_GB2312" w:hAnsi="Times New Roman"/>
                <w:b/>
                <w:color w:val="auto"/>
                <w:sz w:val="24"/>
                <w:szCs w:val="24"/>
                <w:highlight w:val="none"/>
              </w:rPr>
              <w:t>工程为</w:t>
            </w:r>
            <w:r>
              <w:rPr>
                <w:rFonts w:hint="eastAsia" w:ascii="仿宋_GB2312" w:hAnsi="Times New Roman"/>
                <w:b/>
                <w:color w:val="auto"/>
                <w:sz w:val="24"/>
                <w:szCs w:val="24"/>
                <w:highlight w:val="none"/>
              </w:rPr>
              <w:t>包工包料</w:t>
            </w:r>
            <w:r>
              <w:rPr>
                <w:rFonts w:hint="eastAsia" w:ascii="仿宋_GB2312" w:hAnsi="Times New Roman"/>
                <w:b/>
                <w:color w:val="auto"/>
                <w:sz w:val="24"/>
                <w:szCs w:val="24"/>
                <w:highlight w:val="none"/>
                <w:lang w:val="en-US" w:eastAsia="zh-CN"/>
              </w:rPr>
              <w:t>包施工设备</w:t>
            </w:r>
            <w:r>
              <w:rPr>
                <w:rFonts w:hint="eastAsia" w:ascii="仿宋_GB2312" w:hAnsi="Times New Roman"/>
                <w:b/>
                <w:color w:val="auto"/>
                <w:sz w:val="24"/>
                <w:szCs w:val="24"/>
                <w:highlight w:val="none"/>
              </w:rPr>
              <w:t>，其余材料供应见《材料配件清单》说明</w:t>
            </w:r>
            <w:r>
              <w:rPr>
                <w:rFonts w:hint="eastAsia" w:ascii="宋体" w:hAnsi="宋体"/>
                <w:b/>
                <w:color w:val="auto"/>
                <w:sz w:val="24"/>
                <w:szCs w:val="24"/>
                <w:highlight w:val="none"/>
              </w:rPr>
              <w:t>）</w:t>
            </w:r>
          </w:p>
        </w:tc>
      </w:tr>
    </w:tbl>
    <w:p w14:paraId="764F7591">
      <w:pPr>
        <w:rPr>
          <w:color w:val="auto"/>
          <w:highlight w:val="none"/>
        </w:rPr>
      </w:pPr>
      <w:r>
        <w:rPr>
          <w:rFonts w:hint="eastAsia"/>
          <w:color w:val="auto"/>
          <w:highlight w:val="none"/>
        </w:rPr>
        <w:t xml:space="preserve">                            </w:t>
      </w:r>
    </w:p>
    <w:p w14:paraId="1203BBE5">
      <w:pPr>
        <w:widowControl/>
        <w:jc w:val="left"/>
        <w:rPr>
          <w:color w:val="auto"/>
          <w:highlight w:val="none"/>
        </w:rPr>
      </w:pPr>
    </w:p>
    <w:p w14:paraId="74577FCE">
      <w:pPr>
        <w:widowControl/>
        <w:jc w:val="left"/>
        <w:rPr>
          <w:color w:val="auto"/>
          <w:highlight w:val="none"/>
        </w:rPr>
      </w:pPr>
    </w:p>
    <w:p w14:paraId="1BE0CCEA">
      <w:pPr>
        <w:widowControl/>
        <w:jc w:val="left"/>
        <w:rPr>
          <w:color w:val="auto"/>
          <w:highlight w:val="none"/>
        </w:rPr>
      </w:pPr>
    </w:p>
    <w:p w14:paraId="2B576753">
      <w:pPr>
        <w:widowControl/>
        <w:jc w:val="left"/>
        <w:rPr>
          <w:color w:val="auto"/>
          <w:highlight w:val="none"/>
        </w:rPr>
      </w:pPr>
    </w:p>
    <w:p w14:paraId="09331693">
      <w:pPr>
        <w:widowControl/>
        <w:jc w:val="left"/>
        <w:rPr>
          <w:color w:val="auto"/>
          <w:highlight w:val="none"/>
        </w:rPr>
      </w:pPr>
    </w:p>
    <w:p w14:paraId="01ABC2C4">
      <w:pPr>
        <w:widowControl/>
        <w:jc w:val="left"/>
        <w:rPr>
          <w:color w:val="auto"/>
          <w:highlight w:val="none"/>
        </w:rPr>
      </w:pPr>
    </w:p>
    <w:p w14:paraId="378E4552">
      <w:pPr>
        <w:widowControl/>
        <w:jc w:val="left"/>
        <w:rPr>
          <w:color w:val="auto"/>
          <w:highlight w:val="none"/>
        </w:rPr>
      </w:pPr>
    </w:p>
    <w:p w14:paraId="042F87B7">
      <w:pPr>
        <w:widowControl/>
        <w:jc w:val="left"/>
        <w:rPr>
          <w:color w:val="auto"/>
          <w:highlight w:val="none"/>
        </w:rPr>
      </w:pPr>
    </w:p>
    <w:p w14:paraId="3DF1A31B">
      <w:pPr>
        <w:widowControl/>
        <w:jc w:val="left"/>
        <w:rPr>
          <w:color w:val="auto"/>
          <w:highlight w:val="none"/>
        </w:rPr>
      </w:pPr>
    </w:p>
    <w:p w14:paraId="0B8AC667">
      <w:pPr>
        <w:widowControl/>
        <w:jc w:val="left"/>
        <w:rPr>
          <w:color w:val="auto"/>
          <w:highlight w:val="none"/>
        </w:rPr>
      </w:pPr>
    </w:p>
    <w:p w14:paraId="451AE42B">
      <w:pPr>
        <w:pStyle w:val="5"/>
        <w:spacing w:line="360" w:lineRule="auto"/>
        <w:rPr>
          <w:rFonts w:hint="eastAsia"/>
          <w:color w:val="auto"/>
          <w:highlight w:val="none"/>
        </w:rPr>
      </w:pPr>
      <w:bookmarkStart w:id="15" w:name="_Toc18280"/>
      <w:r>
        <w:rPr>
          <w:rFonts w:hint="eastAsia"/>
          <w:color w:val="auto"/>
          <w:highlight w:val="none"/>
          <w:lang w:val="en-US" w:eastAsia="zh-CN"/>
        </w:rPr>
        <w:t>1.</w:t>
      </w:r>
      <w:r>
        <w:rPr>
          <w:rFonts w:hint="eastAsia"/>
          <w:color w:val="auto"/>
          <w:highlight w:val="none"/>
        </w:rPr>
        <w:t>总  则</w:t>
      </w:r>
      <w:bookmarkEnd w:id="15"/>
    </w:p>
    <w:p w14:paraId="46F5B414">
      <w:pPr>
        <w:snapToGrid w:val="0"/>
        <w:spacing w:line="360" w:lineRule="auto"/>
        <w:ind w:firstLine="426"/>
        <w:jc w:val="left"/>
        <w:rPr>
          <w:rFonts w:hint="eastAsia" w:ascii="宋体" w:hAnsi="宋体" w:cs="宋体"/>
          <w:b/>
          <w:color w:val="auto"/>
          <w:sz w:val="24"/>
          <w:szCs w:val="24"/>
          <w:highlight w:val="none"/>
        </w:rPr>
      </w:pPr>
      <w:bookmarkStart w:id="16" w:name="_Toc320951729"/>
      <w:bookmarkStart w:id="17" w:name="_Toc306609721"/>
      <w:bookmarkStart w:id="18" w:name="_Toc72846756"/>
      <w:bookmarkStart w:id="19" w:name="_Toc322004545"/>
      <w:bookmarkStart w:id="20" w:name="_Toc290118893"/>
      <w:bookmarkStart w:id="21" w:name="_Toc306711780"/>
      <w:bookmarkStart w:id="22" w:name="_Toc322004690"/>
      <w:bookmarkStart w:id="23" w:name="_Toc61616076"/>
      <w:bookmarkStart w:id="24" w:name="_Toc18404897"/>
      <w:r>
        <w:rPr>
          <w:rFonts w:hint="eastAsia" w:ascii="宋体" w:hAnsi="宋体" w:cs="宋体"/>
          <w:b/>
          <w:color w:val="auto"/>
          <w:sz w:val="24"/>
          <w:szCs w:val="24"/>
          <w:highlight w:val="none"/>
          <w:lang w:val="en-US" w:eastAsia="zh-CN"/>
        </w:rPr>
        <w:t>1.1</w:t>
      </w:r>
      <w:r>
        <w:rPr>
          <w:rFonts w:hint="eastAsia" w:ascii="宋体" w:hAnsi="宋体" w:cs="宋体"/>
          <w:b/>
          <w:color w:val="auto"/>
          <w:sz w:val="24"/>
          <w:szCs w:val="24"/>
          <w:highlight w:val="none"/>
        </w:rPr>
        <w:t>适用范围</w:t>
      </w:r>
    </w:p>
    <w:p w14:paraId="78992EE9">
      <w:pPr>
        <w:snapToGrid w:val="0"/>
        <w:spacing w:line="360" w:lineRule="auto"/>
        <w:ind w:firstLine="426"/>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本招标文件适用于本次招标项目的招标、投标、评标、定标、验收、合同履约、付款等行为（法律、法规另有规定的，从其规定）。</w:t>
      </w:r>
    </w:p>
    <w:p w14:paraId="0B1B9005">
      <w:pPr>
        <w:snapToGrid w:val="0"/>
        <w:spacing w:line="360" w:lineRule="auto"/>
        <w:ind w:firstLine="426"/>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lang w:val="en-US" w:eastAsia="zh-CN"/>
        </w:rPr>
        <w:t>1.2</w:t>
      </w:r>
      <w:r>
        <w:rPr>
          <w:rFonts w:hint="eastAsia" w:ascii="宋体" w:hAnsi="宋体" w:cs="宋体"/>
          <w:b/>
          <w:color w:val="auto"/>
          <w:sz w:val="24"/>
          <w:szCs w:val="24"/>
          <w:highlight w:val="none"/>
        </w:rPr>
        <w:t>定义</w:t>
      </w:r>
    </w:p>
    <w:p w14:paraId="0E814EA0">
      <w:pPr>
        <w:snapToGrid w:val="0"/>
        <w:spacing w:line="360" w:lineRule="auto"/>
        <w:ind w:firstLine="426"/>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1.招标单位：系指组织本次招标的招标人和招标代理机构。</w:t>
      </w:r>
    </w:p>
    <w:p w14:paraId="70CCFF18">
      <w:pPr>
        <w:snapToGrid w:val="0"/>
        <w:spacing w:line="360" w:lineRule="auto"/>
        <w:ind w:firstLine="426"/>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2.投标人：系指按招标文件规定合法获取了招标文件并向招标单位提交投标文件的单位。</w:t>
      </w:r>
    </w:p>
    <w:p w14:paraId="49F84F81">
      <w:pPr>
        <w:snapToGrid w:val="0"/>
        <w:spacing w:line="360" w:lineRule="auto"/>
        <w:ind w:firstLine="426"/>
        <w:jc w:val="left"/>
        <w:rPr>
          <w:rFonts w:hint="eastAsia" w:ascii="宋体"/>
          <w:kern w:val="0"/>
          <w:sz w:val="24"/>
          <w:szCs w:val="24"/>
          <w:highlight w:val="none"/>
        </w:rPr>
      </w:pPr>
      <w:r>
        <w:rPr>
          <w:rFonts w:hint="eastAsia" w:ascii="宋体" w:hAnsi="宋体" w:cs="宋体"/>
          <w:color w:val="auto"/>
          <w:sz w:val="24"/>
          <w:szCs w:val="24"/>
          <w:highlight w:val="none"/>
        </w:rPr>
        <w:t>3.投标人代表：是指参加本项目投标活动的投标人法定代表人或法定代表人授权代表。</w:t>
      </w:r>
    </w:p>
    <w:p w14:paraId="19A40448">
      <w:pPr>
        <w:snapToGrid w:val="0"/>
        <w:spacing w:line="360" w:lineRule="auto"/>
        <w:ind w:firstLine="426"/>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.甲方：是指合同签订的一方，一般与招标人、发包人相同。</w:t>
      </w:r>
    </w:p>
    <w:p w14:paraId="05343D2D">
      <w:pPr>
        <w:snapToGrid w:val="0"/>
        <w:spacing w:line="360" w:lineRule="auto"/>
        <w:ind w:firstLine="426"/>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.乙方：是指合同签订的另一方，与中标人、承包人相同。</w:t>
      </w:r>
    </w:p>
    <w:p w14:paraId="33AC849C">
      <w:pPr>
        <w:adjustRightInd w:val="0"/>
        <w:snapToGrid w:val="0"/>
        <w:spacing w:line="360" w:lineRule="auto"/>
        <w:ind w:firstLine="426"/>
        <w:contextualSpacing/>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.“工程”系指按招标文件规定由投标人承担的施工以及其他施工相关的义务。</w:t>
      </w:r>
    </w:p>
    <w:p w14:paraId="4F8A9C7E">
      <w:pPr>
        <w:adjustRightInd w:val="0"/>
        <w:snapToGrid w:val="0"/>
        <w:spacing w:line="360" w:lineRule="auto"/>
        <w:ind w:firstLine="426"/>
        <w:contextualSpacing/>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.“项目”系指投标人按招标文件规定向招标人提供的工程。</w:t>
      </w:r>
    </w:p>
    <w:p w14:paraId="4A4A593C">
      <w:pPr>
        <w:snapToGrid w:val="0"/>
        <w:spacing w:line="360" w:lineRule="auto"/>
        <w:ind w:firstLine="426"/>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lang w:val="en-US" w:eastAsia="zh-CN"/>
        </w:rPr>
        <w:t>1.3</w:t>
      </w:r>
      <w:r>
        <w:rPr>
          <w:rFonts w:hint="eastAsia" w:ascii="宋体" w:hAnsi="宋体" w:cs="宋体"/>
          <w:b/>
          <w:color w:val="auto"/>
          <w:sz w:val="24"/>
          <w:szCs w:val="24"/>
          <w:highlight w:val="none"/>
        </w:rPr>
        <w:t>招标方式</w:t>
      </w:r>
    </w:p>
    <w:p w14:paraId="71760615">
      <w:pPr>
        <w:snapToGrid w:val="0"/>
        <w:spacing w:line="360" w:lineRule="auto"/>
        <w:ind w:firstLine="426"/>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本次招标采用公开招标方式进行。</w:t>
      </w:r>
    </w:p>
    <w:p w14:paraId="3461ADCF">
      <w:pPr>
        <w:snapToGrid w:val="0"/>
        <w:spacing w:line="360" w:lineRule="auto"/>
        <w:ind w:firstLine="426"/>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lang w:val="en-US" w:eastAsia="zh-CN"/>
        </w:rPr>
        <w:t>1.4</w:t>
      </w:r>
      <w:r>
        <w:rPr>
          <w:rFonts w:hint="eastAsia" w:ascii="宋体" w:hAnsi="宋体" w:cs="宋体"/>
          <w:b/>
          <w:color w:val="auto"/>
          <w:sz w:val="24"/>
          <w:szCs w:val="24"/>
          <w:highlight w:val="none"/>
        </w:rPr>
        <w:t>投标委托</w:t>
      </w:r>
    </w:p>
    <w:p w14:paraId="0F8BEB95">
      <w:pPr>
        <w:pStyle w:val="12"/>
        <w:snapToGrid w:val="0"/>
        <w:spacing w:line="360" w:lineRule="auto"/>
        <w:ind w:firstLine="426"/>
        <w:jc w:val="left"/>
        <w:rPr>
          <w:sz w:val="24"/>
          <w:szCs w:val="24"/>
          <w:highlight w:val="none"/>
        </w:rPr>
      </w:pPr>
      <w:r>
        <w:rPr>
          <w:sz w:val="24"/>
          <w:szCs w:val="24"/>
          <w:highlight w:val="none"/>
        </w:rPr>
        <w:t>如投标人代表不是法定代表人，投标文件应当提供法定代表人出具的授权委托书（格式见</w:t>
      </w:r>
      <w:r>
        <w:rPr>
          <w:rFonts w:hint="eastAsia"/>
          <w:sz w:val="24"/>
          <w:szCs w:val="24"/>
          <w:highlight w:val="none"/>
        </w:rPr>
        <w:t>附件</w:t>
      </w:r>
      <w:r>
        <w:rPr>
          <w:sz w:val="24"/>
          <w:szCs w:val="24"/>
          <w:highlight w:val="none"/>
        </w:rPr>
        <w:t>）。</w:t>
      </w:r>
    </w:p>
    <w:p w14:paraId="15A51815">
      <w:pPr>
        <w:snapToGrid w:val="0"/>
        <w:spacing w:line="360" w:lineRule="auto"/>
        <w:ind w:firstLine="426"/>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lang w:val="en-US" w:eastAsia="zh-CN"/>
        </w:rPr>
        <w:t>1.5</w:t>
      </w:r>
      <w:r>
        <w:rPr>
          <w:rFonts w:hint="eastAsia" w:ascii="宋体" w:hAnsi="宋体" w:cs="宋体"/>
          <w:b/>
          <w:color w:val="auto"/>
          <w:sz w:val="24"/>
          <w:szCs w:val="24"/>
          <w:highlight w:val="none"/>
        </w:rPr>
        <w:t>投标费用</w:t>
      </w:r>
    </w:p>
    <w:p w14:paraId="34D7B90A">
      <w:pPr>
        <w:snapToGrid w:val="0"/>
        <w:spacing w:line="360" w:lineRule="auto"/>
        <w:ind w:firstLine="426"/>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不论投标结果如何，投标人均应自行承担所有与投标有关的全部费用。</w:t>
      </w:r>
    </w:p>
    <w:p w14:paraId="5C6F8D3C">
      <w:pPr>
        <w:snapToGrid w:val="0"/>
        <w:spacing w:line="360" w:lineRule="auto"/>
        <w:ind w:firstLine="426"/>
        <w:jc w:val="left"/>
        <w:rPr>
          <w:rFonts w:hint="eastAsia" w:ascii="宋体" w:hAnsi="宋体" w:eastAsia="宋体" w:cs="宋体"/>
          <w:b/>
          <w:color w:val="auto"/>
          <w:sz w:val="24"/>
          <w:szCs w:val="24"/>
          <w:highlight w:val="none"/>
          <w:lang w:val="en-US" w:eastAsia="zh-CN"/>
        </w:rPr>
      </w:pPr>
      <w:r>
        <w:rPr>
          <w:rFonts w:hint="eastAsia" w:ascii="宋体" w:hAnsi="宋体" w:cs="宋体"/>
          <w:b/>
          <w:color w:val="auto"/>
          <w:sz w:val="24"/>
          <w:szCs w:val="24"/>
          <w:highlight w:val="none"/>
          <w:lang w:val="en-US" w:eastAsia="zh-CN"/>
        </w:rPr>
        <w:t>1.6</w:t>
      </w:r>
      <w:r>
        <w:rPr>
          <w:rFonts w:hint="eastAsia" w:ascii="宋体" w:hAnsi="宋体" w:cs="宋体"/>
          <w:b/>
          <w:color w:val="auto"/>
          <w:sz w:val="24"/>
          <w:szCs w:val="24"/>
          <w:highlight w:val="none"/>
        </w:rPr>
        <w:t>联合体</w:t>
      </w:r>
      <w:r>
        <w:rPr>
          <w:rFonts w:hint="eastAsia" w:ascii="宋体" w:hAnsi="宋体" w:cs="宋体"/>
          <w:b/>
          <w:color w:val="auto"/>
          <w:sz w:val="24"/>
          <w:szCs w:val="24"/>
          <w:highlight w:val="none"/>
          <w:lang w:val="en-US" w:eastAsia="zh-CN"/>
        </w:rPr>
        <w:t>投标</w:t>
      </w:r>
    </w:p>
    <w:p w14:paraId="20226522">
      <w:pPr>
        <w:snapToGrid w:val="0"/>
        <w:spacing w:line="360" w:lineRule="auto"/>
        <w:ind w:firstLine="426"/>
        <w:jc w:val="left"/>
        <w:rPr>
          <w:rFonts w:hint="eastAsia" w:ascii="宋体" w:hAnsi="宋体" w:cs="宋体"/>
          <w:i/>
          <w:color w:val="auto"/>
          <w:sz w:val="24"/>
          <w:szCs w:val="24"/>
          <w:highlight w:val="none"/>
        </w:rPr>
      </w:pPr>
      <w:r>
        <w:rPr>
          <w:rFonts w:hint="eastAsia" w:ascii="宋体" w:hAnsi="宋体" w:cs="宋体"/>
          <w:color w:val="auto"/>
          <w:kern w:val="0"/>
          <w:sz w:val="24"/>
          <w:szCs w:val="24"/>
          <w:highlight w:val="none"/>
        </w:rPr>
        <w:t>本项目</w:t>
      </w:r>
      <w:r>
        <w:rPr>
          <w:rFonts w:hint="eastAsia" w:ascii="宋体" w:hAnsi="宋体" w:cs="宋体"/>
          <w:color w:val="auto"/>
          <w:kern w:val="0"/>
          <w:sz w:val="24"/>
          <w:szCs w:val="24"/>
          <w:highlight w:val="none"/>
          <w:lang w:val="en-US" w:eastAsia="zh-CN"/>
        </w:rPr>
        <w:t>不接受联合体投标</w:t>
      </w:r>
      <w:r>
        <w:rPr>
          <w:rFonts w:hint="eastAsia" w:ascii="宋体" w:hAnsi="宋体" w:cs="宋体"/>
          <w:color w:val="auto"/>
          <w:kern w:val="0"/>
          <w:sz w:val="24"/>
          <w:szCs w:val="24"/>
          <w:highlight w:val="none"/>
        </w:rPr>
        <w:t>。</w:t>
      </w:r>
    </w:p>
    <w:p w14:paraId="24589E03">
      <w:pPr>
        <w:snapToGrid w:val="0"/>
        <w:spacing w:line="360" w:lineRule="auto"/>
        <w:ind w:firstLine="426"/>
        <w:rPr>
          <w:rFonts w:hint="eastAsia" w:ascii="宋体" w:hAnsi="宋体" w:cs="宋体"/>
          <w:b/>
          <w:color w:val="auto"/>
          <w:kern w:val="0"/>
          <w:sz w:val="24"/>
          <w:szCs w:val="24"/>
          <w:highlight w:val="none"/>
        </w:rPr>
      </w:pPr>
      <w:r>
        <w:rPr>
          <w:rFonts w:hint="eastAsia" w:ascii="宋体" w:hAnsi="宋体" w:cs="宋体"/>
          <w:b/>
          <w:color w:val="auto"/>
          <w:sz w:val="24"/>
          <w:szCs w:val="24"/>
          <w:highlight w:val="none"/>
          <w:lang w:val="en-US" w:eastAsia="zh-CN"/>
        </w:rPr>
        <w:t>1.7</w:t>
      </w:r>
      <w:r>
        <w:rPr>
          <w:rFonts w:hint="eastAsia" w:ascii="宋体" w:hAnsi="宋体" w:cs="宋体"/>
          <w:b/>
          <w:color w:val="auto"/>
          <w:kern w:val="0"/>
          <w:sz w:val="24"/>
          <w:szCs w:val="24"/>
          <w:highlight w:val="none"/>
        </w:rPr>
        <w:t>转包与分包</w:t>
      </w:r>
    </w:p>
    <w:p w14:paraId="1947B696">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1.本项目不允许转包。</w:t>
      </w:r>
    </w:p>
    <w:p w14:paraId="627A8814">
      <w:pPr>
        <w:snapToGrid w:val="0"/>
        <w:spacing w:line="360" w:lineRule="auto"/>
        <w:ind w:firstLine="426"/>
        <w:rPr>
          <w:rFonts w:hint="eastAsia" w:ascii="宋体" w:hAnsi="宋体" w:cs="宋体"/>
          <w:color w:val="auto"/>
          <w:sz w:val="24"/>
          <w:szCs w:val="24"/>
          <w:highlight w:val="none"/>
        </w:rPr>
      </w:pPr>
      <w:r>
        <w:rPr>
          <w:rFonts w:hint="eastAsia" w:ascii="宋体" w:hAnsi="宋体" w:cs="宋体"/>
          <w:color w:val="auto"/>
          <w:kern w:val="0"/>
          <w:sz w:val="24"/>
          <w:szCs w:val="24"/>
          <w:highlight w:val="none"/>
        </w:rPr>
        <w:t>2.</w:t>
      </w:r>
      <w:r>
        <w:rPr>
          <w:rFonts w:hint="eastAsia" w:ascii="宋体" w:hAnsi="宋体" w:cs="宋体"/>
          <w:color w:val="auto"/>
          <w:sz w:val="24"/>
          <w:szCs w:val="24"/>
          <w:highlight w:val="none"/>
        </w:rPr>
        <w:t>投标人拟在中标后将中标项目的部分非主体、非关键性工作进行分包的，应符合投标人须知前附表规定的分包内容、分包金额和接受分包的第三人资质要求等限制性条件。</w:t>
      </w:r>
    </w:p>
    <w:p w14:paraId="24209B8B">
      <w:pPr>
        <w:snapToGrid w:val="0"/>
        <w:spacing w:line="360" w:lineRule="auto"/>
        <w:ind w:firstLine="426"/>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lang w:val="en-US" w:eastAsia="zh-CN"/>
        </w:rPr>
        <w:t>1.8</w:t>
      </w:r>
      <w:r>
        <w:rPr>
          <w:rFonts w:hint="eastAsia" w:ascii="宋体" w:hAnsi="宋体" w:cs="宋体"/>
          <w:b/>
          <w:color w:val="auto"/>
          <w:sz w:val="24"/>
          <w:szCs w:val="24"/>
          <w:highlight w:val="none"/>
        </w:rPr>
        <w:t>特别说明：</w:t>
      </w:r>
    </w:p>
    <w:p w14:paraId="78206CC5">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1.本次招标采用电子交易方式。</w:t>
      </w:r>
    </w:p>
    <w:p w14:paraId="1D583639">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2.投标人投标所使用的资格、信誉、荣誉、业绩与企业认证证书必须为该投标人所拥有。</w:t>
      </w:r>
    </w:p>
    <w:p w14:paraId="1FD73630">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3.投标人应仔细阅读招标文件的所有内容，按照招标文件的要求提交投标文件，并对所提供的全部资料的真实性承担法律责任。</w:t>
      </w:r>
    </w:p>
    <w:p w14:paraId="03E1DEC7">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4.招标过程中出现以下情形，导致电子交易平台无法正常运行，或者无法保证电子交易的公平、公正和安全时，招标人（或招标代理机构）可中止电子交易活动：</w:t>
      </w:r>
    </w:p>
    <w:p w14:paraId="7F4F2A59">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（1）电子交易平台发生故障而无法登录访问的； </w:t>
      </w:r>
    </w:p>
    <w:p w14:paraId="308BEE4C">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（2）电子交易平台应用或数据库出现错误，不能进行正常操作的；</w:t>
      </w:r>
    </w:p>
    <w:p w14:paraId="06EFDC52">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（3）电子交易平台发现严重安全漏洞，有潜在泄密危险的；</w:t>
      </w:r>
    </w:p>
    <w:p w14:paraId="21BEF9C8">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（4）病毒发作导致不能进行正常操作的；</w:t>
      </w:r>
    </w:p>
    <w:p w14:paraId="7FFC9B10">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（5）其他无法保证电子交易的公平、公正和安全的情况。</w:t>
      </w:r>
    </w:p>
    <w:p w14:paraId="352A4DBD">
      <w:pPr>
        <w:snapToGrid w:val="0"/>
        <w:spacing w:line="360" w:lineRule="auto"/>
        <w:ind w:firstLine="426"/>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出现上述规定情形，不影响招标公平、公正性的，招标（或招标代理机构）可以待上述情形消除后继续组织电子交易活动，也可以决定某些环节以纸质形式进行。</w:t>
      </w:r>
    </w:p>
    <w:p w14:paraId="2F07BF70">
      <w:pPr>
        <w:snapToGrid w:val="0"/>
        <w:spacing w:line="360" w:lineRule="auto"/>
        <w:ind w:firstLine="426"/>
        <w:rPr>
          <w:rFonts w:hint="eastAsia" w:ascii="宋体"/>
          <w:kern w:val="0"/>
          <w:sz w:val="24"/>
          <w:highlight w:val="none"/>
        </w:rPr>
      </w:pPr>
    </w:p>
    <w:bookmarkEnd w:id="16"/>
    <w:bookmarkEnd w:id="17"/>
    <w:bookmarkEnd w:id="18"/>
    <w:bookmarkEnd w:id="19"/>
    <w:bookmarkEnd w:id="20"/>
    <w:bookmarkEnd w:id="21"/>
    <w:bookmarkEnd w:id="22"/>
    <w:bookmarkEnd w:id="23"/>
    <w:bookmarkEnd w:id="24"/>
    <w:p w14:paraId="1837327C">
      <w:pPr>
        <w:pStyle w:val="5"/>
        <w:spacing w:line="360" w:lineRule="auto"/>
        <w:rPr>
          <w:rFonts w:hint="eastAsia"/>
          <w:color w:val="auto"/>
          <w:highlight w:val="none"/>
        </w:rPr>
      </w:pPr>
      <w:bookmarkStart w:id="25" w:name="_Toc18404905"/>
      <w:bookmarkStart w:id="26" w:name="_Toc61616084"/>
      <w:bookmarkStart w:id="27" w:name="_Toc72846764"/>
      <w:r>
        <w:rPr>
          <w:rFonts w:hint="eastAsia"/>
          <w:color w:val="auto"/>
          <w:highlight w:val="none"/>
        </w:rPr>
        <w:t>2.招标文件</w:t>
      </w:r>
      <w:bookmarkEnd w:id="25"/>
      <w:bookmarkEnd w:id="26"/>
      <w:bookmarkEnd w:id="27"/>
    </w:p>
    <w:p w14:paraId="51974F94">
      <w:pPr>
        <w:pStyle w:val="6"/>
        <w:spacing w:line="360" w:lineRule="auto"/>
        <w:rPr>
          <w:rFonts w:hint="eastAsia"/>
          <w:color w:val="auto"/>
          <w:szCs w:val="24"/>
          <w:highlight w:val="none"/>
        </w:rPr>
      </w:pPr>
      <w:bookmarkStart w:id="28" w:name="_Toc72846765"/>
      <w:bookmarkStart w:id="29" w:name="_Toc320951738"/>
      <w:bookmarkStart w:id="30" w:name="_Toc322004554"/>
      <w:bookmarkStart w:id="31" w:name="_Toc18404906"/>
      <w:bookmarkStart w:id="32" w:name="_Toc306711789"/>
      <w:bookmarkStart w:id="33" w:name="_Toc322004699"/>
      <w:bookmarkStart w:id="34" w:name="_Toc306609730"/>
      <w:bookmarkStart w:id="35" w:name="_Toc61616085"/>
      <w:bookmarkStart w:id="36" w:name="_Toc290118902"/>
      <w:r>
        <w:rPr>
          <w:rFonts w:hint="eastAsia"/>
          <w:color w:val="auto"/>
          <w:szCs w:val="24"/>
          <w:highlight w:val="none"/>
        </w:rPr>
        <w:t>2.1招标文件组成</w:t>
      </w:r>
      <w:bookmarkEnd w:id="28"/>
      <w:bookmarkEnd w:id="29"/>
      <w:bookmarkEnd w:id="30"/>
      <w:bookmarkEnd w:id="31"/>
      <w:bookmarkEnd w:id="32"/>
      <w:bookmarkEnd w:id="33"/>
      <w:bookmarkEnd w:id="34"/>
      <w:bookmarkEnd w:id="35"/>
      <w:bookmarkEnd w:id="36"/>
    </w:p>
    <w:p w14:paraId="5E97D51D">
      <w:pPr>
        <w:spacing w:line="360" w:lineRule="auto"/>
        <w:jc w:val="left"/>
        <w:rPr>
          <w:rFonts w:hint="eastAsia"/>
          <w:color w:val="auto"/>
          <w:sz w:val="24"/>
          <w:szCs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 xml:space="preserve"> 本招标文件包括：</w:t>
      </w:r>
    </w:p>
    <w:p w14:paraId="5E1C794D">
      <w:pPr>
        <w:spacing w:line="360" w:lineRule="auto"/>
        <w:jc w:val="left"/>
        <w:rPr>
          <w:rFonts w:hint="eastAsia"/>
          <w:color w:val="auto"/>
          <w:sz w:val="24"/>
          <w:szCs w:val="24"/>
          <w:highlight w:val="none"/>
        </w:rPr>
      </w:pPr>
      <w:r>
        <w:rPr>
          <w:rFonts w:hint="eastAsia"/>
          <w:color w:val="auto"/>
          <w:sz w:val="24"/>
          <w:szCs w:val="24"/>
          <w:highlight w:val="none"/>
        </w:rPr>
        <w:t xml:space="preserve">    (1) 招标公告；</w:t>
      </w:r>
    </w:p>
    <w:p w14:paraId="78CFDFD9">
      <w:pPr>
        <w:spacing w:line="360" w:lineRule="auto"/>
        <w:jc w:val="left"/>
        <w:rPr>
          <w:rFonts w:hint="eastAsia"/>
          <w:color w:val="auto"/>
          <w:sz w:val="24"/>
          <w:szCs w:val="24"/>
          <w:highlight w:val="none"/>
        </w:rPr>
      </w:pPr>
      <w:r>
        <w:rPr>
          <w:rFonts w:hint="eastAsia"/>
          <w:color w:val="auto"/>
          <w:sz w:val="24"/>
          <w:szCs w:val="24"/>
          <w:highlight w:val="none"/>
        </w:rPr>
        <w:t xml:space="preserve">    (2) 投标人须知；</w:t>
      </w:r>
    </w:p>
    <w:p w14:paraId="2313E79A">
      <w:pPr>
        <w:spacing w:line="360" w:lineRule="auto"/>
        <w:jc w:val="left"/>
        <w:rPr>
          <w:rFonts w:hint="eastAsia"/>
          <w:color w:val="auto"/>
          <w:sz w:val="24"/>
          <w:szCs w:val="24"/>
          <w:highlight w:val="none"/>
        </w:rPr>
      </w:pPr>
      <w:r>
        <w:rPr>
          <w:rFonts w:hint="eastAsia"/>
          <w:color w:val="auto"/>
          <w:sz w:val="24"/>
          <w:szCs w:val="24"/>
          <w:highlight w:val="none"/>
        </w:rPr>
        <w:t xml:space="preserve">    (3) 评标办法；</w:t>
      </w:r>
    </w:p>
    <w:p w14:paraId="5EEA656C">
      <w:pPr>
        <w:spacing w:line="360" w:lineRule="auto"/>
        <w:jc w:val="left"/>
        <w:rPr>
          <w:rFonts w:hint="eastAsia"/>
          <w:color w:val="auto"/>
          <w:sz w:val="24"/>
          <w:szCs w:val="24"/>
          <w:highlight w:val="none"/>
        </w:rPr>
      </w:pPr>
      <w:r>
        <w:rPr>
          <w:rFonts w:hint="eastAsia"/>
          <w:color w:val="auto"/>
          <w:sz w:val="24"/>
          <w:szCs w:val="24"/>
          <w:highlight w:val="none"/>
        </w:rPr>
        <w:t xml:space="preserve">    (4) 合同条款及格式；</w:t>
      </w:r>
    </w:p>
    <w:p w14:paraId="04938DDE">
      <w:pPr>
        <w:spacing w:line="360" w:lineRule="auto"/>
        <w:jc w:val="left"/>
        <w:rPr>
          <w:rFonts w:hint="eastAsia"/>
          <w:color w:val="auto"/>
          <w:sz w:val="24"/>
          <w:szCs w:val="24"/>
          <w:highlight w:val="none"/>
        </w:rPr>
      </w:pPr>
      <w:r>
        <w:rPr>
          <w:rFonts w:hint="eastAsia"/>
          <w:color w:val="auto"/>
          <w:sz w:val="24"/>
          <w:szCs w:val="24"/>
          <w:highlight w:val="none"/>
        </w:rPr>
        <w:t xml:space="preserve">    (5) 技术标准和要求；</w:t>
      </w:r>
    </w:p>
    <w:p w14:paraId="252ACBA9">
      <w:pPr>
        <w:spacing w:line="360" w:lineRule="auto"/>
        <w:jc w:val="left"/>
        <w:rPr>
          <w:rFonts w:hint="eastAsia"/>
          <w:color w:val="auto"/>
          <w:sz w:val="24"/>
          <w:szCs w:val="24"/>
          <w:highlight w:val="none"/>
        </w:rPr>
      </w:pPr>
      <w:r>
        <w:rPr>
          <w:rFonts w:hint="eastAsia"/>
          <w:color w:val="auto"/>
          <w:sz w:val="24"/>
          <w:szCs w:val="24"/>
          <w:highlight w:val="none"/>
        </w:rPr>
        <w:t xml:space="preserve">    (6) 投标文件格式。</w:t>
      </w:r>
    </w:p>
    <w:p w14:paraId="5B085BF9">
      <w:pPr>
        <w:spacing w:line="360" w:lineRule="auto"/>
        <w:jc w:val="left"/>
        <w:rPr>
          <w:rFonts w:hint="eastAsia"/>
          <w:color w:val="auto"/>
          <w:sz w:val="24"/>
          <w:szCs w:val="24"/>
          <w:highlight w:val="none"/>
        </w:rPr>
      </w:pPr>
      <w:r>
        <w:rPr>
          <w:rFonts w:hint="eastAsia"/>
          <w:color w:val="auto"/>
          <w:sz w:val="24"/>
          <w:szCs w:val="24"/>
          <w:highlight w:val="none"/>
        </w:rPr>
        <w:t xml:space="preserve">    根据本章第2.2款和第2.3款对招标文件所</w:t>
      </w:r>
      <w:r>
        <w:rPr>
          <w:rFonts w:hint="eastAsia"/>
          <w:color w:val="auto"/>
          <w:sz w:val="24"/>
          <w:szCs w:val="24"/>
          <w:highlight w:val="none"/>
          <w:lang w:eastAsia="zh-CN"/>
        </w:rPr>
        <w:t>做</w:t>
      </w:r>
      <w:r>
        <w:rPr>
          <w:rFonts w:hint="eastAsia"/>
          <w:color w:val="auto"/>
          <w:sz w:val="24"/>
          <w:szCs w:val="24"/>
          <w:highlight w:val="none"/>
        </w:rPr>
        <w:t>的澄清、修改，构成招标文件的组成部分。</w:t>
      </w:r>
    </w:p>
    <w:p w14:paraId="75710FC9">
      <w:pPr>
        <w:pStyle w:val="6"/>
        <w:spacing w:line="360" w:lineRule="auto"/>
        <w:rPr>
          <w:rFonts w:hint="eastAsia"/>
          <w:color w:val="auto"/>
          <w:szCs w:val="24"/>
          <w:highlight w:val="none"/>
        </w:rPr>
      </w:pPr>
      <w:bookmarkStart w:id="37" w:name="_Toc306711790"/>
      <w:bookmarkStart w:id="38" w:name="_Toc61616086"/>
      <w:bookmarkStart w:id="39" w:name="_Toc306609731"/>
      <w:bookmarkStart w:id="40" w:name="_Toc322004555"/>
      <w:bookmarkStart w:id="41" w:name="_Toc72846766"/>
      <w:bookmarkStart w:id="42" w:name="_Toc290118903"/>
      <w:bookmarkStart w:id="43" w:name="_Toc18404907"/>
      <w:bookmarkStart w:id="44" w:name="_Toc320951739"/>
      <w:bookmarkStart w:id="45" w:name="_Toc322004700"/>
      <w:r>
        <w:rPr>
          <w:rFonts w:hint="eastAsia"/>
          <w:color w:val="auto"/>
          <w:szCs w:val="24"/>
          <w:highlight w:val="none"/>
        </w:rPr>
        <w:t>2.2招标文件的澄清</w:t>
      </w:r>
      <w:bookmarkEnd w:id="37"/>
      <w:bookmarkEnd w:id="38"/>
      <w:bookmarkEnd w:id="39"/>
      <w:bookmarkEnd w:id="40"/>
      <w:bookmarkEnd w:id="41"/>
      <w:bookmarkEnd w:id="42"/>
      <w:bookmarkEnd w:id="43"/>
      <w:bookmarkEnd w:id="44"/>
      <w:bookmarkEnd w:id="45"/>
    </w:p>
    <w:p w14:paraId="791F18E1">
      <w:pPr>
        <w:spacing w:line="360" w:lineRule="auto"/>
        <w:ind w:firstLine="480" w:firstLineChars="200"/>
        <w:jc w:val="left"/>
        <w:rPr>
          <w:rFonts w:hint="eastAsia"/>
          <w:color w:val="auto"/>
          <w:sz w:val="24"/>
          <w:szCs w:val="24"/>
          <w:highlight w:val="none"/>
        </w:rPr>
      </w:pPr>
      <w:bookmarkStart w:id="46" w:name="_Toc306711791"/>
      <w:bookmarkStart w:id="47" w:name="_Toc320951740"/>
      <w:bookmarkStart w:id="48" w:name="_Toc322004701"/>
      <w:bookmarkStart w:id="49" w:name="_Toc322004556"/>
      <w:bookmarkStart w:id="50" w:name="_Toc72846767"/>
      <w:bookmarkStart w:id="51" w:name="_Toc290118904"/>
      <w:bookmarkStart w:id="52" w:name="_Toc18404908"/>
      <w:bookmarkStart w:id="53" w:name="_Toc61616087"/>
      <w:bookmarkStart w:id="54" w:name="_Toc306609732"/>
      <w:r>
        <w:rPr>
          <w:rFonts w:hint="eastAsia"/>
          <w:color w:val="auto"/>
          <w:sz w:val="24"/>
          <w:szCs w:val="24"/>
          <w:highlight w:val="none"/>
        </w:rPr>
        <w:t>1. 投标截止时间前，投标人未将“电子加密投标文件” 成功上传至“化工云商网（巨化数字化招采平台）”的，投标无效。</w:t>
      </w:r>
    </w:p>
    <w:p w14:paraId="71F720BB">
      <w:pPr>
        <w:spacing w:line="360" w:lineRule="auto"/>
        <w:ind w:firstLine="480" w:firstLineChars="200"/>
        <w:jc w:val="left"/>
        <w:rPr>
          <w:rFonts w:hint="eastAsia"/>
          <w:color w:val="auto"/>
          <w:sz w:val="24"/>
          <w:szCs w:val="24"/>
          <w:highlight w:val="none"/>
        </w:rPr>
      </w:pPr>
      <w:r>
        <w:rPr>
          <w:rFonts w:hint="eastAsia"/>
          <w:color w:val="auto"/>
          <w:sz w:val="24"/>
          <w:szCs w:val="24"/>
          <w:highlight w:val="none"/>
        </w:rPr>
        <w:t>2.投标人没有按照招标文件要求提供全部资料，或者投标人没有对招标文件在各方面作出实质性响应是投标人的风险，并可能导致其投标无效。</w:t>
      </w:r>
    </w:p>
    <w:p w14:paraId="0C4A5392">
      <w:pPr>
        <w:pStyle w:val="6"/>
        <w:spacing w:line="360" w:lineRule="auto"/>
        <w:rPr>
          <w:rFonts w:hint="eastAsia"/>
          <w:color w:val="auto"/>
          <w:szCs w:val="24"/>
          <w:highlight w:val="none"/>
        </w:rPr>
      </w:pPr>
      <w:r>
        <w:rPr>
          <w:rFonts w:hint="eastAsia"/>
          <w:color w:val="auto"/>
          <w:szCs w:val="24"/>
          <w:highlight w:val="none"/>
        </w:rPr>
        <w:t>2.3招标文件的修改</w:t>
      </w:r>
      <w:bookmarkEnd w:id="46"/>
      <w:bookmarkEnd w:id="47"/>
      <w:bookmarkEnd w:id="48"/>
      <w:bookmarkEnd w:id="49"/>
      <w:bookmarkEnd w:id="50"/>
      <w:bookmarkEnd w:id="51"/>
      <w:bookmarkEnd w:id="52"/>
      <w:bookmarkEnd w:id="53"/>
      <w:bookmarkEnd w:id="54"/>
    </w:p>
    <w:p w14:paraId="4A87A4AF">
      <w:pPr>
        <w:spacing w:line="360" w:lineRule="auto"/>
        <w:ind w:firstLine="480" w:firstLineChars="200"/>
        <w:jc w:val="left"/>
        <w:rPr>
          <w:rFonts w:hint="eastAsia"/>
          <w:color w:val="auto"/>
          <w:sz w:val="24"/>
          <w:szCs w:val="24"/>
          <w:highlight w:val="none"/>
        </w:rPr>
      </w:pPr>
      <w:bookmarkStart w:id="55" w:name="_Toc81196557"/>
      <w:r>
        <w:rPr>
          <w:rFonts w:hint="eastAsia"/>
          <w:color w:val="auto"/>
          <w:sz w:val="24"/>
          <w:szCs w:val="24"/>
          <w:highlight w:val="none"/>
        </w:rPr>
        <w:t>1.投标人应认真阅读本招标文件，发现其中有表述不清晰、前后矛盾等内容的，投标人可以在投标截止日</w:t>
      </w:r>
      <w:r>
        <w:rPr>
          <w:rFonts w:hint="eastAsia"/>
          <w:color w:val="auto"/>
          <w:sz w:val="24"/>
          <w:szCs w:val="24"/>
          <w:highlight w:val="none"/>
          <w:lang w:val="en-US" w:eastAsia="zh-CN"/>
        </w:rPr>
        <w:t>15</w:t>
      </w:r>
      <w:r>
        <w:rPr>
          <w:rFonts w:hint="eastAsia"/>
          <w:color w:val="auto"/>
          <w:sz w:val="24"/>
          <w:szCs w:val="24"/>
          <w:highlight w:val="none"/>
        </w:rPr>
        <w:t>天前以书面形式要求招标人澄清。</w:t>
      </w:r>
    </w:p>
    <w:p w14:paraId="05B4675F">
      <w:pPr>
        <w:spacing w:line="360" w:lineRule="auto"/>
        <w:ind w:firstLine="480" w:firstLineChars="200"/>
        <w:jc w:val="left"/>
        <w:rPr>
          <w:rFonts w:hint="eastAsia"/>
          <w:color w:val="auto"/>
          <w:sz w:val="24"/>
          <w:szCs w:val="24"/>
          <w:highlight w:val="none"/>
        </w:rPr>
      </w:pPr>
      <w:r>
        <w:rPr>
          <w:rFonts w:hint="eastAsia"/>
          <w:color w:val="auto"/>
          <w:sz w:val="24"/>
          <w:szCs w:val="24"/>
          <w:highlight w:val="none"/>
        </w:rPr>
        <w:t>2.招标人以书面形式答复投标人要求澄清的问题，并将不包含问题来源的答复书面通知所有购买招标文件的投标人；除书面答复以外的其他澄清方式及澄清内容均无效。</w:t>
      </w:r>
    </w:p>
    <w:p w14:paraId="1E32C85A">
      <w:pPr>
        <w:spacing w:line="360" w:lineRule="auto"/>
        <w:ind w:firstLine="480" w:firstLineChars="200"/>
        <w:jc w:val="left"/>
        <w:rPr>
          <w:rFonts w:hint="eastAsia"/>
          <w:color w:val="auto"/>
          <w:sz w:val="24"/>
          <w:szCs w:val="24"/>
          <w:highlight w:val="none"/>
        </w:rPr>
      </w:pPr>
      <w:r>
        <w:rPr>
          <w:rFonts w:hint="eastAsia"/>
          <w:color w:val="auto"/>
          <w:sz w:val="24"/>
          <w:szCs w:val="24"/>
          <w:highlight w:val="none"/>
        </w:rPr>
        <w:t>3.招标文件澄清、修改的内容为招标文件的组成部分。当招标文件与招标文件的澄清、修改通知就同一内容的表述不一致时，以最后发出的书面文件为准。</w:t>
      </w:r>
    </w:p>
    <w:p w14:paraId="7D8938B2">
      <w:pPr>
        <w:spacing w:line="360" w:lineRule="auto"/>
        <w:ind w:firstLine="480" w:firstLineChars="200"/>
        <w:jc w:val="left"/>
        <w:rPr>
          <w:rFonts w:hint="eastAsia"/>
          <w:color w:val="auto"/>
          <w:sz w:val="24"/>
          <w:szCs w:val="24"/>
          <w:highlight w:val="none"/>
        </w:rPr>
      </w:pPr>
      <w:r>
        <w:rPr>
          <w:rFonts w:hint="eastAsia"/>
          <w:color w:val="auto"/>
          <w:sz w:val="24"/>
          <w:szCs w:val="24"/>
          <w:highlight w:val="none"/>
        </w:rPr>
        <w:t>4.招标文件的澄清、修改都应该通过本项目招标代理机构发布。</w:t>
      </w:r>
      <w:bookmarkEnd w:id="55"/>
    </w:p>
    <w:p w14:paraId="0E16113A">
      <w:pPr>
        <w:pStyle w:val="5"/>
        <w:spacing w:line="360" w:lineRule="auto"/>
        <w:rPr>
          <w:rFonts w:hint="eastAsia"/>
          <w:color w:val="auto"/>
          <w:highlight w:val="none"/>
        </w:rPr>
      </w:pPr>
      <w:bookmarkStart w:id="56" w:name="_Toc72846768"/>
      <w:bookmarkStart w:id="57" w:name="_Toc61616088"/>
      <w:bookmarkStart w:id="58" w:name="_Toc18404909"/>
      <w:r>
        <w:rPr>
          <w:rFonts w:hint="eastAsia"/>
          <w:color w:val="auto"/>
          <w:highlight w:val="none"/>
        </w:rPr>
        <w:t>3.投标文件</w:t>
      </w:r>
      <w:bookmarkEnd w:id="56"/>
      <w:bookmarkEnd w:id="57"/>
      <w:bookmarkEnd w:id="58"/>
    </w:p>
    <w:p w14:paraId="7BD9E6A1">
      <w:pPr>
        <w:pStyle w:val="6"/>
        <w:spacing w:line="360" w:lineRule="auto"/>
        <w:rPr>
          <w:rFonts w:hint="eastAsia"/>
          <w:color w:val="auto"/>
          <w:szCs w:val="24"/>
          <w:highlight w:val="none"/>
        </w:rPr>
      </w:pPr>
      <w:bookmarkStart w:id="59" w:name="_Toc306609734"/>
      <w:bookmarkStart w:id="60" w:name="_Toc18404910"/>
      <w:bookmarkStart w:id="61" w:name="_Toc290118906"/>
      <w:bookmarkStart w:id="62" w:name="_Toc72846769"/>
      <w:bookmarkStart w:id="63" w:name="_Toc322004703"/>
      <w:bookmarkStart w:id="64" w:name="_Toc322004558"/>
      <w:bookmarkStart w:id="65" w:name="_Toc306711793"/>
      <w:bookmarkStart w:id="66" w:name="_Toc61616089"/>
      <w:bookmarkStart w:id="67" w:name="_Toc320951742"/>
      <w:r>
        <w:rPr>
          <w:rFonts w:hint="eastAsia"/>
          <w:color w:val="auto"/>
          <w:szCs w:val="24"/>
          <w:highlight w:val="none"/>
        </w:rPr>
        <w:t>3.1投标文件的组成</w:t>
      </w:r>
      <w:bookmarkEnd w:id="59"/>
      <w:bookmarkEnd w:id="60"/>
      <w:bookmarkEnd w:id="61"/>
      <w:bookmarkEnd w:id="62"/>
      <w:bookmarkEnd w:id="63"/>
      <w:bookmarkEnd w:id="64"/>
      <w:bookmarkEnd w:id="65"/>
      <w:bookmarkEnd w:id="66"/>
      <w:bookmarkEnd w:id="67"/>
    </w:p>
    <w:p w14:paraId="4875EA7C">
      <w:pPr>
        <w:spacing w:line="360" w:lineRule="auto"/>
        <w:ind w:firstLine="240" w:firstLineChars="100"/>
        <w:rPr>
          <w:rFonts w:hint="eastAsia" w:ascii="宋体" w:cs="宋体"/>
          <w:color w:val="auto"/>
          <w:sz w:val="24"/>
          <w:szCs w:val="24"/>
          <w:highlight w:val="none"/>
        </w:rPr>
      </w:pPr>
      <w:r>
        <w:rPr>
          <w:rFonts w:hint="eastAsia" w:ascii="宋体" w:hAnsi="宋体"/>
          <w:color w:val="auto"/>
          <w:sz w:val="24"/>
          <w:szCs w:val="24"/>
          <w:highlight w:val="none"/>
        </w:rPr>
        <w:t xml:space="preserve"> </w:t>
      </w:r>
      <w:bookmarkStart w:id="68" w:name="_Toc322004559"/>
      <w:bookmarkStart w:id="69" w:name="_Toc306711794"/>
      <w:bookmarkStart w:id="70" w:name="_Toc322004704"/>
      <w:bookmarkStart w:id="71" w:name="_Toc61616090"/>
      <w:bookmarkStart w:id="72" w:name="_Toc290118907"/>
      <w:bookmarkStart w:id="73" w:name="_Toc320951743"/>
      <w:bookmarkStart w:id="74" w:name="_Toc306609735"/>
      <w:bookmarkStart w:id="75" w:name="_Toc18404911"/>
      <w:r>
        <w:rPr>
          <w:rFonts w:hint="eastAsia" w:ascii="宋体" w:hAnsi="宋体" w:cs="宋体"/>
          <w:color w:val="auto"/>
          <w:sz w:val="24"/>
          <w:szCs w:val="24"/>
          <w:highlight w:val="none"/>
        </w:rPr>
        <w:t xml:space="preserve">3.1.1 </w:t>
      </w:r>
      <w:r>
        <w:rPr>
          <w:rFonts w:hint="eastAsia" w:ascii="宋体" w:cs="宋体"/>
          <w:color w:val="auto"/>
          <w:sz w:val="24"/>
          <w:szCs w:val="24"/>
          <w:highlight w:val="none"/>
        </w:rPr>
        <w:t>投标文件由</w:t>
      </w:r>
      <w:r>
        <w:rPr>
          <w:rFonts w:hint="eastAsia"/>
          <w:b/>
          <w:color w:val="auto"/>
          <w:sz w:val="24"/>
          <w:szCs w:val="24"/>
          <w:highlight w:val="none"/>
        </w:rPr>
        <w:t>技术资信文件</w:t>
      </w:r>
      <w:r>
        <w:rPr>
          <w:rFonts w:hint="eastAsia" w:ascii="宋体" w:cs="宋体"/>
          <w:b/>
          <w:color w:val="auto"/>
          <w:sz w:val="24"/>
          <w:szCs w:val="24"/>
          <w:highlight w:val="none"/>
        </w:rPr>
        <w:t>和</w:t>
      </w:r>
      <w:r>
        <w:rPr>
          <w:rFonts w:hint="eastAsia"/>
          <w:b/>
          <w:color w:val="auto"/>
          <w:sz w:val="24"/>
          <w:szCs w:val="24"/>
          <w:highlight w:val="none"/>
        </w:rPr>
        <w:t>商务经济文件</w:t>
      </w:r>
      <w:r>
        <w:rPr>
          <w:rFonts w:hint="eastAsia" w:ascii="宋体" w:cs="宋体"/>
          <w:color w:val="auto"/>
          <w:sz w:val="24"/>
          <w:szCs w:val="24"/>
          <w:highlight w:val="none"/>
        </w:rPr>
        <w:t>两部分组成。</w:t>
      </w:r>
    </w:p>
    <w:p w14:paraId="49904EE9">
      <w:pPr>
        <w:widowControl/>
        <w:spacing w:line="360" w:lineRule="auto"/>
        <w:textAlignment w:val="baseline"/>
        <w:rPr>
          <w:rFonts w:hint="eastAsia"/>
          <w:color w:val="auto"/>
          <w:sz w:val="24"/>
          <w:szCs w:val="24"/>
          <w:highlight w:val="none"/>
        </w:rPr>
      </w:pPr>
      <w:r>
        <w:rPr>
          <w:rFonts w:hint="eastAsia"/>
          <w:color w:val="auto"/>
          <w:sz w:val="24"/>
          <w:szCs w:val="24"/>
          <w:highlight w:val="none"/>
        </w:rPr>
        <w:t>1、技术资信标书封面（格式见附件）</w:t>
      </w:r>
    </w:p>
    <w:p w14:paraId="3E601CFD">
      <w:pPr>
        <w:spacing w:line="360" w:lineRule="auto"/>
        <w:rPr>
          <w:rFonts w:hint="eastAsia"/>
          <w:color w:val="auto"/>
          <w:sz w:val="24"/>
          <w:szCs w:val="24"/>
          <w:highlight w:val="none"/>
        </w:rPr>
      </w:pPr>
      <w:r>
        <w:rPr>
          <w:rFonts w:hint="eastAsia"/>
          <w:color w:val="auto"/>
          <w:sz w:val="24"/>
          <w:szCs w:val="24"/>
          <w:highlight w:val="none"/>
        </w:rPr>
        <w:t>2、资格证明文件：</w:t>
      </w:r>
    </w:p>
    <w:p w14:paraId="16F86E9D">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（一）投标人：</w:t>
      </w:r>
    </w:p>
    <w:p w14:paraId="47649F21">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（1）投标人注册地要求：投标人必须是在中华人民共和国境内注册，并具有独立法人资格的企业。</w:t>
      </w:r>
    </w:p>
    <w:p w14:paraId="0F329FB4">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（2）必须同时满足以下条件：</w:t>
      </w:r>
    </w:p>
    <w:p w14:paraId="5A47A552">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a、具备矿山工程施工总承包</w:t>
      </w: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lang w:val="zh-CN"/>
        </w:rPr>
        <w:t>级或以上资质；</w:t>
      </w:r>
    </w:p>
    <w:p w14:paraId="0B7E2968">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b、具备建设行政主管部门颁发的安全生产许可证；</w:t>
      </w:r>
    </w:p>
    <w:p w14:paraId="195ABBD0">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c、具备安全生产监督管理部门颁发的安全生产许可证；</w:t>
      </w:r>
    </w:p>
    <w:p w14:paraId="2693B8C5">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lang w:val="zh-CN"/>
        </w:rPr>
        <w:t>）具有有效安全生产许可证；</w:t>
      </w:r>
    </w:p>
    <w:p w14:paraId="1565D2A9">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lang w:val="zh-CN"/>
        </w:rPr>
        <w:t>）投标人未处于被责令停业，投标资格被取消，财产被接管、冻结，破产状态；</w:t>
      </w:r>
    </w:p>
    <w:p w14:paraId="089CDB3E">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（5）、本项目不接受联合体投标。</w:t>
      </w:r>
    </w:p>
    <w:p w14:paraId="45EC5A5E">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（二）拟派项目负责人：</w:t>
      </w:r>
    </w:p>
    <w:p w14:paraId="4693C53A">
      <w:pPr>
        <w:spacing w:line="440" w:lineRule="exact"/>
        <w:ind w:firstLine="480" w:firstLineChars="200"/>
        <w:rPr>
          <w:rFonts w:hint="default" w:ascii="Times New Roman" w:hAnsi="Times New Roman" w:eastAsia="宋体"/>
          <w:color w:val="auto"/>
          <w:sz w:val="24"/>
          <w:szCs w:val="24"/>
          <w:highlight w:val="none"/>
          <w:lang w:val="en-US" w:eastAsia="zh-CN"/>
        </w:rPr>
      </w:pPr>
      <w:r>
        <w:rPr>
          <w:rFonts w:hint="eastAsia" w:ascii="Times New Roman" w:hAnsi="Times New Roman"/>
          <w:color w:val="auto"/>
          <w:sz w:val="24"/>
          <w:szCs w:val="24"/>
          <w:highlight w:val="none"/>
        </w:rPr>
        <w:t>具备国家</w:t>
      </w:r>
      <w:r>
        <w:rPr>
          <w:rFonts w:hint="eastAsia" w:ascii="Times New Roman" w:hAnsi="Times New Roman"/>
          <w:color w:val="auto"/>
          <w:sz w:val="24"/>
          <w:szCs w:val="24"/>
          <w:highlight w:val="none"/>
          <w:lang w:val="en-US" w:eastAsia="zh-CN"/>
        </w:rPr>
        <w:t>一</w:t>
      </w:r>
      <w:r>
        <w:rPr>
          <w:rFonts w:hint="eastAsia" w:ascii="Times New Roman" w:hAnsi="Times New Roman"/>
          <w:color w:val="auto"/>
          <w:sz w:val="24"/>
          <w:szCs w:val="24"/>
          <w:highlight w:val="none"/>
        </w:rPr>
        <w:t>级</w:t>
      </w:r>
      <w:r>
        <w:rPr>
          <w:rFonts w:hint="eastAsia" w:ascii="Times New Roman" w:hAnsi="Times New Roman"/>
          <w:color w:val="auto"/>
          <w:sz w:val="24"/>
          <w:szCs w:val="24"/>
          <w:highlight w:val="none"/>
          <w:lang w:val="en-US" w:eastAsia="zh-CN"/>
        </w:rPr>
        <w:t>及以上</w:t>
      </w:r>
      <w:r>
        <w:rPr>
          <w:rFonts w:hint="eastAsia" w:ascii="Times New Roman" w:hAnsi="Times New Roman"/>
          <w:color w:val="auto"/>
          <w:sz w:val="24"/>
          <w:szCs w:val="24"/>
          <w:highlight w:val="none"/>
        </w:rPr>
        <w:t>注册建造师资质(专业类别</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rPr>
        <w:t>矿业工程)且注册证书上注明的聘用单位名称与投标人名称一致，且在本项目施工期间无在建工程(出具无在建承诺书)，持有建设行政主管部门核发的经年检合格有效的安全生产考核合格证书B证，自2020年1月1日至今，作为项目经理至少完成过1项金属非金属矿山建设工程项目业绩，且单项合同金额不低于</w:t>
      </w:r>
      <w:r>
        <w:rPr>
          <w:rFonts w:hint="eastAsia" w:ascii="Times New Roman" w:hAnsi="Times New Roman"/>
          <w:color w:val="auto"/>
          <w:sz w:val="24"/>
          <w:szCs w:val="24"/>
          <w:highlight w:val="none"/>
          <w:lang w:val="en-US" w:eastAsia="zh-CN"/>
        </w:rPr>
        <w:t>1000</w:t>
      </w:r>
      <w:r>
        <w:rPr>
          <w:rFonts w:hint="eastAsia" w:ascii="Times New Roman" w:hAnsi="Times New Roman"/>
          <w:color w:val="auto"/>
          <w:sz w:val="24"/>
          <w:szCs w:val="24"/>
          <w:highlight w:val="none"/>
        </w:rPr>
        <w:t>万元（须提供中标通知书、合同关键页及竣工验收证明等加盖公章的佐证材料）。</w:t>
      </w:r>
    </w:p>
    <w:p w14:paraId="1469C657">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（三）其他：</w:t>
      </w:r>
    </w:p>
    <w:p w14:paraId="585A6A14">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1、符合以下规定条件。</w:t>
      </w:r>
    </w:p>
    <w:p w14:paraId="1EB63A6B">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（1）具有独立承担民事责任和履行合同能力；</w:t>
      </w:r>
    </w:p>
    <w:p w14:paraId="76386E63">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（2）具有良好的商业信誉和健全的财务会计制度；</w:t>
      </w:r>
    </w:p>
    <w:p w14:paraId="3EB9155C">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（3）具有履行合同所必需的设备和专业技术能力；</w:t>
      </w:r>
    </w:p>
    <w:p w14:paraId="0B8E3726">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（4）有依法缴纳税收和社会保障资金的良好记录；</w:t>
      </w:r>
    </w:p>
    <w:p w14:paraId="73843137">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lang w:val="zh-CN"/>
        </w:rPr>
        <w:t>）</w:t>
      </w:r>
      <w:r>
        <w:rPr>
          <w:rFonts w:hint="eastAsia" w:ascii="宋体" w:eastAsia="宋体" w:cs="宋体"/>
          <w:kern w:val="0"/>
          <w:sz w:val="24"/>
          <w:szCs w:val="24"/>
          <w:highlight w:val="none"/>
        </w:rPr>
        <w:t>投标人投标截止时间未被“信用中国”网站（www.creditchina.gov.cn)列为</w:t>
      </w:r>
      <w:r>
        <w:rPr>
          <w:rFonts w:hint="eastAsia" w:ascii="Times New Roman" w:hAnsi="Times New Roman"/>
          <w:color w:val="auto"/>
          <w:sz w:val="24"/>
          <w:szCs w:val="24"/>
          <w:highlight w:val="none"/>
          <w:lang w:val="en-US" w:eastAsia="zh-CN"/>
        </w:rPr>
        <w:t>未被列入失信被执行人、重大税收违法案件当事人。</w:t>
      </w:r>
    </w:p>
    <w:p w14:paraId="3C5C843E">
      <w:pPr>
        <w:spacing w:line="440" w:lineRule="exact"/>
        <w:ind w:firstLine="240" w:firstLineChars="100"/>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（6）投标人须满足以下安全生产与劳动权益保障要求：</w:t>
      </w:r>
    </w:p>
    <w:p w14:paraId="1895D39C">
      <w:pPr>
        <w:spacing w:line="440" w:lineRule="exact"/>
        <w:ind w:firstLine="480" w:firstLineChars="200"/>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① 自2021年1月1日（成立不足三年的企业自成立之日起）至投标截止日，未在浙江省范围内发生一般及以上等级生产安全事故（以浙江省应急管理厅、各市县应急管理局官网及"信用中国"网站公示信息为准）；</w:t>
      </w:r>
    </w:p>
    <w:p w14:paraId="578430DC">
      <w:pPr>
        <w:spacing w:line="440" w:lineRule="exact"/>
        <w:ind w:firstLine="480" w:firstLineChars="200"/>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② 同期在浙江省内未因拖欠农民工工资受到人社部门行政处罚或通报批评（依据《保障农民工工资支付条例》核查国家企业信用信息公示系统及浙江省住建领域诚信平台记录）。</w:t>
      </w:r>
    </w:p>
    <w:p w14:paraId="588096B3">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lang w:val="zh-CN"/>
        </w:rPr>
        <w:t>）本工程所有人员在整个建设过程中不得更换(不可抗力和招标人同意除外)，且中标人项目部的项目经理、技术负责人、安全负责人、专职安全生产管理人员、专业技术人员、特种作业人员相关证件复印件(加盖中标人公章)交招标人保管，直至工程竣工。</w:t>
      </w:r>
    </w:p>
    <w:p w14:paraId="0C3FEB8E">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lang w:val="en-US" w:eastAsia="zh-CN"/>
        </w:rPr>
        <w:t>8</w:t>
      </w:r>
      <w:r>
        <w:rPr>
          <w:rFonts w:hint="eastAsia" w:ascii="宋体" w:hAnsi="宋体" w:cs="宋体"/>
          <w:color w:val="auto"/>
          <w:sz w:val="24"/>
          <w:szCs w:val="24"/>
          <w:highlight w:val="none"/>
          <w:lang w:val="zh-CN"/>
        </w:rPr>
        <w:t>）投标人当前在浙江省未被市级或以上行政主管部门责令停业、取消、暂停或行政处分等限制投标，投标人在投标文件中出具专项承诺。</w:t>
      </w:r>
    </w:p>
    <w:p w14:paraId="44081C86">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lang w:val="zh-CN"/>
        </w:rPr>
        <w:t>）项目经理、技术负责人、安全负责人、专职安全生产管理人员、专业技术人员、特种作业人员必须是投标人企业的正式职工，不得使用劳务派遣人员、临时人员，且不得在其他矿山兼职，提供社保证明，以证明其投标时在投标单位工作。</w:t>
      </w:r>
    </w:p>
    <w:p w14:paraId="5800A06A">
      <w:pPr>
        <w:spacing w:line="360" w:lineRule="auto"/>
        <w:ind w:firstLine="240" w:firstLineChars="100"/>
        <w:rPr>
          <w:rFonts w:ascii="宋体" w:hAnsi="宋体" w:cs="宋体"/>
          <w:color w:val="auto"/>
          <w:sz w:val="24"/>
          <w:szCs w:val="24"/>
          <w:highlight w:val="none"/>
          <w:lang w:val="zh-CN"/>
        </w:rPr>
      </w:pPr>
      <w:r>
        <w:rPr>
          <w:rFonts w:ascii="宋体" w:hAnsi="宋体" w:cs="宋体"/>
          <w:color w:val="auto"/>
          <w:sz w:val="24"/>
          <w:szCs w:val="24"/>
          <w:highlight w:val="none"/>
          <w:lang w:val="zh-CN"/>
        </w:rPr>
        <w:t>以上为资格证明必备条件，所提供的材料必须在有效期内。资格审查未通过的，投标文件作否决处理。</w:t>
      </w:r>
    </w:p>
    <w:p w14:paraId="2536A954">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自评分索引表（格式自拟）</w:t>
      </w:r>
    </w:p>
    <w:p w14:paraId="5134D592">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hAnsi="宋体" w:cs="宋体"/>
          <w:color w:val="auto"/>
          <w:sz w:val="24"/>
          <w:szCs w:val="24"/>
          <w:highlight w:val="none"/>
        </w:rPr>
        <w:t>其他评分办法要求的内容</w:t>
      </w:r>
      <w:r>
        <w:rPr>
          <w:rFonts w:hint="eastAsia" w:ascii="宋体" w:hAnsi="宋体" w:cs="宋体"/>
          <w:color w:val="auto"/>
          <w:sz w:val="24"/>
          <w:szCs w:val="24"/>
          <w:highlight w:val="none"/>
        </w:rPr>
        <w:t>；</w:t>
      </w:r>
    </w:p>
    <w:p w14:paraId="24CA0981">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6、其他投标人认为有必要提供的资料。</w:t>
      </w:r>
    </w:p>
    <w:p w14:paraId="5A8B0EFF">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（三）</w:t>
      </w:r>
      <w:r>
        <w:rPr>
          <w:rFonts w:hint="eastAsia" w:ascii="宋体" w:hAnsi="宋体" w:cs="宋体"/>
          <w:b/>
          <w:bCs/>
          <w:color w:val="auto"/>
          <w:sz w:val="24"/>
          <w:szCs w:val="24"/>
          <w:highlight w:val="none"/>
        </w:rPr>
        <w:t>商务经济文件</w:t>
      </w:r>
      <w:r>
        <w:rPr>
          <w:rFonts w:hint="eastAsia" w:ascii="宋体" w:hAnsi="宋体" w:cs="宋体"/>
          <w:color w:val="auto"/>
          <w:sz w:val="24"/>
          <w:szCs w:val="24"/>
          <w:highlight w:val="none"/>
          <w:lang w:val="zh-CN"/>
        </w:rPr>
        <w:t>中必须包括：</w:t>
      </w:r>
    </w:p>
    <w:p w14:paraId="65458776">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（1）商务经济文件封面；</w:t>
      </w:r>
    </w:p>
    <w:p w14:paraId="1224637D">
      <w:pPr>
        <w:spacing w:line="360" w:lineRule="auto"/>
        <w:ind w:firstLine="240" w:firstLineChars="10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（2）投标函</w:t>
      </w:r>
      <w:r>
        <w:rPr>
          <w:rFonts w:hint="eastAsia" w:ascii="宋体" w:hAnsi="宋体" w:cs="宋体"/>
          <w:color w:val="auto"/>
          <w:sz w:val="24"/>
          <w:szCs w:val="24"/>
          <w:highlight w:val="none"/>
        </w:rPr>
        <w:t>及报价明细表</w:t>
      </w:r>
      <w:r>
        <w:rPr>
          <w:rFonts w:hint="eastAsia" w:ascii="宋体" w:hAnsi="宋体" w:cs="宋体"/>
          <w:color w:val="auto"/>
          <w:sz w:val="24"/>
          <w:szCs w:val="24"/>
          <w:highlight w:val="none"/>
          <w:lang w:val="zh-CN"/>
        </w:rPr>
        <w:t>；</w:t>
      </w:r>
    </w:p>
    <w:p w14:paraId="627B51AF">
      <w:pPr>
        <w:spacing w:line="360" w:lineRule="auto"/>
        <w:ind w:firstLine="240" w:firstLineChars="100"/>
        <w:jc w:val="left"/>
        <w:rPr>
          <w:rFonts w:hint="eastAsia"/>
          <w:color w:val="auto"/>
          <w:sz w:val="24"/>
          <w:szCs w:val="24"/>
          <w:highlight w:val="none"/>
        </w:rPr>
      </w:pP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rPr>
        <w:t>3</w:t>
      </w: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rPr>
        <w:t>投标人认为需要提供的其他文件和资料。</w:t>
      </w:r>
    </w:p>
    <w:p w14:paraId="7AEBCEAF">
      <w:pPr>
        <w:spacing w:line="360" w:lineRule="auto"/>
        <w:ind w:firstLine="482"/>
        <w:rPr>
          <w:rFonts w:hint="eastAsia"/>
          <w:color w:val="auto"/>
          <w:sz w:val="24"/>
          <w:szCs w:val="24"/>
          <w:highlight w:val="none"/>
        </w:rPr>
      </w:pPr>
      <w:r>
        <w:rPr>
          <w:rFonts w:hint="eastAsia"/>
          <w:color w:val="auto"/>
          <w:sz w:val="24"/>
          <w:szCs w:val="24"/>
          <w:highlight w:val="none"/>
        </w:rPr>
        <w:t>3.1.2投标人须知前附表规定不接受联合体投标的，或投标人没有组成联合体的，投标文件不包括本章所指的联合体协议书。</w:t>
      </w:r>
    </w:p>
    <w:p w14:paraId="302A9CDD">
      <w:pPr>
        <w:spacing w:line="360" w:lineRule="auto"/>
        <w:ind w:firstLine="482"/>
        <w:rPr>
          <w:rFonts w:hint="eastAsia"/>
          <w:color w:val="auto"/>
          <w:sz w:val="24"/>
          <w:szCs w:val="24"/>
          <w:highlight w:val="none"/>
        </w:rPr>
      </w:pPr>
      <w:r>
        <w:rPr>
          <w:rFonts w:hint="eastAsia"/>
          <w:color w:val="auto"/>
          <w:sz w:val="24"/>
          <w:szCs w:val="24"/>
          <w:highlight w:val="none"/>
        </w:rPr>
        <w:t>3.2投标报价</w:t>
      </w:r>
      <w:bookmarkEnd w:id="68"/>
      <w:bookmarkEnd w:id="69"/>
      <w:bookmarkEnd w:id="70"/>
      <w:bookmarkEnd w:id="71"/>
      <w:bookmarkEnd w:id="72"/>
      <w:bookmarkEnd w:id="73"/>
      <w:bookmarkEnd w:id="74"/>
      <w:bookmarkEnd w:id="75"/>
    </w:p>
    <w:p w14:paraId="09597147">
      <w:pPr>
        <w:spacing w:line="360" w:lineRule="auto"/>
        <w:ind w:firstLine="482"/>
        <w:rPr>
          <w:rFonts w:hint="eastAsia"/>
          <w:color w:val="auto"/>
          <w:sz w:val="24"/>
          <w:szCs w:val="24"/>
          <w:highlight w:val="none"/>
        </w:rPr>
      </w:pPr>
      <w:r>
        <w:rPr>
          <w:rFonts w:hint="eastAsia"/>
          <w:color w:val="auto"/>
          <w:sz w:val="24"/>
          <w:szCs w:val="24"/>
          <w:highlight w:val="none"/>
        </w:rPr>
        <w:t>3.2.1报价依据：招标文件、招标答疑和招标补充文件；</w:t>
      </w:r>
    </w:p>
    <w:p w14:paraId="5FDA8DE5">
      <w:pPr>
        <w:spacing w:line="360" w:lineRule="auto"/>
        <w:ind w:firstLine="482"/>
        <w:rPr>
          <w:rFonts w:hint="eastAsia"/>
          <w:color w:val="auto"/>
          <w:sz w:val="24"/>
          <w:szCs w:val="24"/>
          <w:highlight w:val="none"/>
          <w:lang w:val="zh-CN"/>
        </w:rPr>
      </w:pPr>
      <w:r>
        <w:rPr>
          <w:rFonts w:hint="eastAsia"/>
          <w:color w:val="auto"/>
          <w:sz w:val="24"/>
          <w:szCs w:val="24"/>
          <w:highlight w:val="none"/>
          <w:lang w:val="zh-CN"/>
        </w:rPr>
        <w:t>3.2.</w:t>
      </w:r>
      <w:r>
        <w:rPr>
          <w:rFonts w:hint="eastAsia"/>
          <w:color w:val="auto"/>
          <w:sz w:val="24"/>
          <w:szCs w:val="24"/>
          <w:highlight w:val="none"/>
        </w:rPr>
        <w:t>2</w:t>
      </w:r>
      <w:r>
        <w:rPr>
          <w:rFonts w:hint="eastAsia"/>
          <w:color w:val="auto"/>
          <w:sz w:val="24"/>
          <w:szCs w:val="24"/>
          <w:highlight w:val="none"/>
          <w:lang w:val="zh-CN"/>
        </w:rPr>
        <w:t xml:space="preserve"> 投标报价为投标人在投标文件中提出的各项支付金额的总和，且投标总报价应已包含一切费用。 </w:t>
      </w:r>
    </w:p>
    <w:p w14:paraId="2052A901">
      <w:pPr>
        <w:spacing w:line="360" w:lineRule="auto"/>
        <w:ind w:firstLine="482"/>
        <w:rPr>
          <w:rFonts w:hint="eastAsia"/>
          <w:color w:val="auto"/>
          <w:sz w:val="24"/>
          <w:szCs w:val="24"/>
          <w:highlight w:val="none"/>
          <w:lang w:val="zh-CN"/>
        </w:rPr>
      </w:pPr>
      <w:r>
        <w:rPr>
          <w:rFonts w:hint="eastAsia"/>
          <w:color w:val="auto"/>
          <w:sz w:val="24"/>
          <w:szCs w:val="24"/>
          <w:highlight w:val="none"/>
          <w:lang w:val="zh-CN"/>
        </w:rPr>
        <w:t>3.2.</w:t>
      </w:r>
      <w:r>
        <w:rPr>
          <w:rFonts w:hint="eastAsia"/>
          <w:color w:val="auto"/>
          <w:sz w:val="24"/>
          <w:szCs w:val="24"/>
          <w:highlight w:val="none"/>
        </w:rPr>
        <w:t>3</w:t>
      </w:r>
      <w:r>
        <w:rPr>
          <w:rFonts w:hint="eastAsia"/>
          <w:color w:val="auto"/>
          <w:sz w:val="24"/>
          <w:szCs w:val="24"/>
          <w:highlight w:val="none"/>
          <w:lang w:val="zh-CN"/>
        </w:rPr>
        <w:t xml:space="preserve"> 投标人的投标总价，应是完成本招标文件和合同条款上所列招标项目范围及期限的全部所有费用。 </w:t>
      </w:r>
    </w:p>
    <w:p w14:paraId="7E042718">
      <w:pPr>
        <w:spacing w:line="360" w:lineRule="auto"/>
        <w:ind w:firstLine="482"/>
        <w:rPr>
          <w:rFonts w:hint="eastAsia"/>
          <w:color w:val="auto"/>
          <w:sz w:val="24"/>
          <w:szCs w:val="24"/>
          <w:highlight w:val="none"/>
          <w:lang w:val="zh-CN"/>
        </w:rPr>
      </w:pPr>
      <w:r>
        <w:rPr>
          <w:rFonts w:hint="eastAsia"/>
          <w:color w:val="auto"/>
          <w:sz w:val="24"/>
          <w:szCs w:val="24"/>
          <w:highlight w:val="none"/>
        </w:rPr>
        <w:t>3.2.4</w:t>
      </w:r>
      <w:r>
        <w:rPr>
          <w:rFonts w:hint="eastAsia"/>
          <w:color w:val="auto"/>
          <w:sz w:val="24"/>
          <w:szCs w:val="24"/>
          <w:highlight w:val="none"/>
          <w:lang w:val="zh-CN"/>
        </w:rPr>
        <w:t xml:space="preserve">除非招标人对招标文件予以修改，否则投标人应按招标人提供的项目和数量填报单价和总价。每一项目只允许有一个报价。任何有选择的报价将不予接受。投标人未填单价或总价的项目，在实施后，招标人将不予以支付，并视为该项费用已包括在其他有价款的单价或总价内。 </w:t>
      </w:r>
    </w:p>
    <w:p w14:paraId="672E3A5A">
      <w:pPr>
        <w:spacing w:line="360" w:lineRule="auto"/>
        <w:ind w:firstLine="482"/>
        <w:rPr>
          <w:rFonts w:hint="eastAsia"/>
          <w:color w:val="auto"/>
          <w:sz w:val="24"/>
          <w:szCs w:val="24"/>
          <w:highlight w:val="none"/>
        </w:rPr>
      </w:pPr>
      <w:r>
        <w:rPr>
          <w:rFonts w:hint="eastAsia"/>
          <w:color w:val="auto"/>
          <w:sz w:val="24"/>
          <w:szCs w:val="24"/>
          <w:highlight w:val="none"/>
        </w:rPr>
        <w:t>3.2.5</w:t>
      </w:r>
      <w:r>
        <w:rPr>
          <w:rFonts w:hint="eastAsia"/>
          <w:color w:val="auto"/>
          <w:sz w:val="24"/>
          <w:szCs w:val="24"/>
          <w:highlight w:val="none"/>
          <w:lang w:val="zh-CN"/>
        </w:rPr>
        <w:t xml:space="preserve">技术规范要求的费用应包括在投标报价中。 </w:t>
      </w:r>
    </w:p>
    <w:p w14:paraId="6328E5FC">
      <w:pPr>
        <w:spacing w:line="360" w:lineRule="auto"/>
        <w:ind w:firstLine="482"/>
        <w:rPr>
          <w:rFonts w:hint="eastAsia"/>
          <w:color w:val="auto"/>
          <w:sz w:val="24"/>
          <w:szCs w:val="24"/>
          <w:highlight w:val="none"/>
        </w:rPr>
      </w:pPr>
      <w:r>
        <w:rPr>
          <w:rFonts w:hint="eastAsia"/>
          <w:color w:val="auto"/>
          <w:sz w:val="24"/>
          <w:szCs w:val="24"/>
          <w:highlight w:val="none"/>
        </w:rPr>
        <w:t xml:space="preserve">3.2.6投标报价包括项目所需的一切服务、提供相关资料、管理费、利润、风险费、相关验收费用、保险、税金、政策性文件规定的各项应有费用及招标代理费等完成招标内容及要求所提供的服务过程中涉及的一切费用，即投标人所投报的投标报价为投标人所能承受的整个项目的一次性最终最低报价(为本采购项目总价)，如有漏项，视同已包含在其总项目中。 </w:t>
      </w:r>
    </w:p>
    <w:p w14:paraId="048B741C">
      <w:pPr>
        <w:spacing w:line="360" w:lineRule="auto"/>
        <w:ind w:firstLine="482"/>
        <w:rPr>
          <w:rFonts w:hint="eastAsia"/>
          <w:color w:val="auto"/>
          <w:sz w:val="24"/>
          <w:szCs w:val="24"/>
          <w:highlight w:val="none"/>
        </w:rPr>
      </w:pPr>
      <w:r>
        <w:rPr>
          <w:rFonts w:hint="eastAsia"/>
          <w:color w:val="auto"/>
          <w:sz w:val="24"/>
          <w:szCs w:val="24"/>
          <w:highlight w:val="none"/>
        </w:rPr>
        <w:t>3.2.7本次招标的内容：</w:t>
      </w:r>
      <w:r>
        <w:rPr>
          <w:rFonts w:hint="eastAsia"/>
          <w:color w:val="auto"/>
          <w:sz w:val="24"/>
          <w:szCs w:val="24"/>
          <w:highlight w:val="none"/>
          <w:lang w:val="en-US" w:eastAsia="zh-CN"/>
        </w:rPr>
        <w:t>尾矿库闭库工程</w:t>
      </w:r>
      <w:r>
        <w:rPr>
          <w:rFonts w:hint="eastAsia"/>
          <w:color w:val="auto"/>
          <w:sz w:val="24"/>
          <w:szCs w:val="24"/>
          <w:highlight w:val="none"/>
        </w:rPr>
        <w:t>各项工作内容，包括但不限于</w:t>
      </w:r>
      <w:r>
        <w:rPr>
          <w:rFonts w:hint="eastAsia"/>
          <w:color w:val="auto"/>
          <w:sz w:val="24"/>
          <w:szCs w:val="24"/>
          <w:highlight w:val="none"/>
          <w:lang w:val="en-US" w:eastAsia="zh-CN"/>
        </w:rPr>
        <w:t>坝体加固</w:t>
      </w:r>
      <w:r>
        <w:rPr>
          <w:rFonts w:hint="eastAsia"/>
          <w:color w:val="auto"/>
          <w:sz w:val="24"/>
          <w:szCs w:val="24"/>
          <w:highlight w:val="none"/>
        </w:rPr>
        <w:t>、</w:t>
      </w:r>
      <w:r>
        <w:rPr>
          <w:rFonts w:hint="eastAsia"/>
          <w:color w:val="auto"/>
          <w:sz w:val="24"/>
          <w:szCs w:val="24"/>
          <w:highlight w:val="none"/>
          <w:lang w:val="en-US" w:eastAsia="zh-CN"/>
        </w:rPr>
        <w:t>防洪沟建设、复绿</w:t>
      </w:r>
      <w:r>
        <w:rPr>
          <w:rFonts w:hint="eastAsia"/>
          <w:color w:val="auto"/>
          <w:sz w:val="24"/>
          <w:szCs w:val="24"/>
          <w:highlight w:val="none"/>
        </w:rPr>
        <w:t>等环节的工作量，具体工作内容和工程量以实际施工为准。</w:t>
      </w:r>
    </w:p>
    <w:p w14:paraId="482BD232">
      <w:pPr>
        <w:spacing w:line="360" w:lineRule="auto"/>
        <w:ind w:firstLine="482"/>
        <w:rPr>
          <w:rFonts w:hint="eastAsia"/>
          <w:color w:val="auto"/>
          <w:sz w:val="24"/>
          <w:szCs w:val="24"/>
          <w:highlight w:val="none"/>
        </w:rPr>
      </w:pPr>
      <w:r>
        <w:rPr>
          <w:rFonts w:hint="eastAsia"/>
          <w:color w:val="auto"/>
          <w:sz w:val="24"/>
          <w:szCs w:val="24"/>
          <w:highlight w:val="none"/>
        </w:rPr>
        <w:t>3.2.8施工标准：本工程的施工应符合国家相关法律法规和标准的规定，同时满足招标文件的要求。</w:t>
      </w:r>
    </w:p>
    <w:p w14:paraId="64E03AE3">
      <w:pPr>
        <w:spacing w:line="360" w:lineRule="auto"/>
        <w:ind w:firstLine="482"/>
        <w:rPr>
          <w:rFonts w:hint="eastAsia"/>
          <w:color w:val="auto"/>
          <w:sz w:val="24"/>
          <w:szCs w:val="24"/>
          <w:highlight w:val="none"/>
        </w:rPr>
      </w:pPr>
      <w:r>
        <w:rPr>
          <w:rFonts w:hint="eastAsia"/>
          <w:color w:val="auto"/>
          <w:sz w:val="24"/>
          <w:szCs w:val="24"/>
          <w:highlight w:val="none"/>
        </w:rPr>
        <w:t>3.2.9设备材料：设备材料的选用应符合国家和行业的安全和质量标准，满足施工需要。</w:t>
      </w:r>
    </w:p>
    <w:p w14:paraId="62B925F6">
      <w:pPr>
        <w:spacing w:line="360" w:lineRule="auto"/>
        <w:ind w:firstLine="482"/>
        <w:rPr>
          <w:rFonts w:hint="eastAsia"/>
          <w:color w:val="auto"/>
          <w:sz w:val="24"/>
          <w:szCs w:val="24"/>
          <w:highlight w:val="none"/>
        </w:rPr>
      </w:pPr>
      <w:r>
        <w:rPr>
          <w:rFonts w:hint="eastAsia"/>
          <w:color w:val="auto"/>
          <w:sz w:val="24"/>
          <w:szCs w:val="24"/>
          <w:highlight w:val="none"/>
        </w:rPr>
        <w:t>3.210投标人应依据招标文件要求、拟建工程具体情况、合同文件的有关条款，充分考虑工程动态因素、结合自身实力，自行报价。</w:t>
      </w:r>
    </w:p>
    <w:p w14:paraId="4C376FDC">
      <w:pPr>
        <w:spacing w:line="360" w:lineRule="auto"/>
        <w:ind w:firstLine="482"/>
        <w:rPr>
          <w:rFonts w:hint="eastAsia"/>
          <w:color w:val="auto"/>
          <w:sz w:val="24"/>
          <w:szCs w:val="24"/>
          <w:highlight w:val="none"/>
        </w:rPr>
      </w:pPr>
      <w:r>
        <w:rPr>
          <w:rFonts w:hint="eastAsia"/>
          <w:color w:val="auto"/>
          <w:sz w:val="24"/>
          <w:szCs w:val="24"/>
          <w:highlight w:val="none"/>
        </w:rPr>
        <w:t>3.2.11所有投标均以人民币报价。</w:t>
      </w:r>
    </w:p>
    <w:p w14:paraId="46F6A41A">
      <w:pPr>
        <w:pStyle w:val="6"/>
        <w:spacing w:line="360" w:lineRule="auto"/>
        <w:rPr>
          <w:rFonts w:hint="eastAsia"/>
          <w:color w:val="auto"/>
          <w:szCs w:val="24"/>
          <w:highlight w:val="none"/>
        </w:rPr>
      </w:pPr>
      <w:bookmarkStart w:id="76" w:name="_Toc320951744"/>
      <w:bookmarkStart w:id="77" w:name="_Toc306711795"/>
      <w:bookmarkStart w:id="78" w:name="_Toc18404912"/>
      <w:bookmarkStart w:id="79" w:name="_Toc306609736"/>
      <w:bookmarkStart w:id="80" w:name="_Toc322004560"/>
      <w:bookmarkStart w:id="81" w:name="_Toc322004705"/>
      <w:bookmarkStart w:id="82" w:name="_Toc61616091"/>
      <w:bookmarkStart w:id="83" w:name="_Toc72846770"/>
      <w:bookmarkStart w:id="84" w:name="_Toc290118908"/>
      <w:r>
        <w:rPr>
          <w:rFonts w:hint="eastAsia"/>
          <w:color w:val="auto"/>
          <w:szCs w:val="24"/>
          <w:highlight w:val="none"/>
        </w:rPr>
        <w:t>3.3投标有效期</w:t>
      </w:r>
      <w:bookmarkEnd w:id="76"/>
      <w:bookmarkEnd w:id="77"/>
      <w:bookmarkEnd w:id="78"/>
      <w:bookmarkEnd w:id="79"/>
      <w:bookmarkEnd w:id="80"/>
      <w:bookmarkEnd w:id="81"/>
      <w:bookmarkEnd w:id="82"/>
      <w:bookmarkEnd w:id="83"/>
      <w:bookmarkEnd w:id="84"/>
    </w:p>
    <w:p w14:paraId="30638334">
      <w:pPr>
        <w:spacing w:line="360" w:lineRule="auto"/>
        <w:ind w:firstLine="240" w:firstLineChars="100"/>
        <w:rPr>
          <w:rFonts w:hint="eastAsia"/>
          <w:color w:val="auto"/>
          <w:sz w:val="24"/>
          <w:szCs w:val="24"/>
          <w:highlight w:val="none"/>
        </w:rPr>
      </w:pPr>
      <w:bookmarkStart w:id="85" w:name="_Toc18404913"/>
      <w:bookmarkStart w:id="86" w:name="_Toc72846771"/>
      <w:bookmarkStart w:id="87" w:name="_Toc322004706"/>
      <w:bookmarkStart w:id="88" w:name="_Toc306609737"/>
      <w:bookmarkStart w:id="89" w:name="_Toc61616092"/>
      <w:bookmarkStart w:id="90" w:name="_Toc320951745"/>
      <w:bookmarkStart w:id="91" w:name="_Toc306711796"/>
      <w:bookmarkStart w:id="92" w:name="_Toc290118909"/>
      <w:bookmarkStart w:id="93" w:name="_Toc322004561"/>
      <w:r>
        <w:rPr>
          <w:color w:val="auto"/>
          <w:sz w:val="24"/>
          <w:szCs w:val="24"/>
          <w:highlight w:val="none"/>
        </w:rPr>
        <w:t>3.3</w:t>
      </w:r>
      <w:r>
        <w:rPr>
          <w:rFonts w:hint="eastAsia"/>
          <w:color w:val="auto"/>
          <w:sz w:val="24"/>
          <w:szCs w:val="24"/>
          <w:highlight w:val="none"/>
        </w:rPr>
        <w:t>.1投标有效期见本须知前附表所规定的期限，在此期限内，凡符合本招标文件要求的投标文件均保持有效。</w:t>
      </w:r>
    </w:p>
    <w:p w14:paraId="1558D61F">
      <w:pPr>
        <w:spacing w:line="360" w:lineRule="auto"/>
        <w:ind w:firstLine="240" w:firstLineChars="100"/>
        <w:rPr>
          <w:rFonts w:hint="eastAsia"/>
          <w:color w:val="auto"/>
          <w:sz w:val="24"/>
          <w:szCs w:val="24"/>
          <w:highlight w:val="none"/>
        </w:rPr>
      </w:pPr>
      <w:r>
        <w:rPr>
          <w:color w:val="auto"/>
          <w:sz w:val="24"/>
          <w:szCs w:val="24"/>
          <w:highlight w:val="none"/>
        </w:rPr>
        <w:t>3.3.</w:t>
      </w:r>
      <w:r>
        <w:rPr>
          <w:rFonts w:hint="eastAsia"/>
          <w:color w:val="auto"/>
          <w:sz w:val="24"/>
          <w:szCs w:val="24"/>
          <w:highlight w:val="none"/>
        </w:rPr>
        <w:t>2在特殊情况下，招标人在原定投标有效期内，可以根据需要以书面形式向投标人提出延长投标有效期的要求，对此要求投标人须以书面形式予以答复，投标人可以拒绝招标人这种要求。</w:t>
      </w:r>
    </w:p>
    <w:p w14:paraId="2F8E5A72">
      <w:pPr>
        <w:pStyle w:val="6"/>
        <w:spacing w:line="360" w:lineRule="auto"/>
        <w:rPr>
          <w:rFonts w:hint="eastAsia"/>
          <w:color w:val="auto"/>
          <w:szCs w:val="24"/>
          <w:highlight w:val="none"/>
        </w:rPr>
      </w:pPr>
      <w:r>
        <w:rPr>
          <w:rFonts w:hint="eastAsia"/>
          <w:color w:val="auto"/>
          <w:szCs w:val="24"/>
          <w:highlight w:val="none"/>
        </w:rPr>
        <w:t>3.4投标保证金</w:t>
      </w:r>
      <w:bookmarkEnd w:id="85"/>
      <w:bookmarkEnd w:id="86"/>
      <w:bookmarkEnd w:id="87"/>
      <w:bookmarkEnd w:id="88"/>
      <w:bookmarkEnd w:id="89"/>
      <w:bookmarkEnd w:id="90"/>
      <w:bookmarkEnd w:id="91"/>
      <w:bookmarkEnd w:id="92"/>
      <w:bookmarkEnd w:id="93"/>
    </w:p>
    <w:p w14:paraId="48A3D167">
      <w:pPr>
        <w:spacing w:line="360" w:lineRule="auto"/>
        <w:ind w:firstLine="240" w:firstLineChars="100"/>
        <w:rPr>
          <w:rFonts w:hint="eastAsia"/>
          <w:color w:val="auto"/>
          <w:sz w:val="24"/>
          <w:szCs w:val="24"/>
          <w:highlight w:val="none"/>
        </w:rPr>
      </w:pPr>
      <w:r>
        <w:rPr>
          <w:color w:val="auto"/>
          <w:sz w:val="24"/>
          <w:szCs w:val="24"/>
          <w:highlight w:val="none"/>
        </w:rPr>
        <w:t>3.4</w:t>
      </w:r>
      <w:r>
        <w:rPr>
          <w:rFonts w:hint="eastAsia"/>
          <w:color w:val="auto"/>
          <w:sz w:val="24"/>
          <w:szCs w:val="24"/>
          <w:highlight w:val="none"/>
        </w:rPr>
        <w:t>.1</w:t>
      </w:r>
      <w:r>
        <w:rPr>
          <w:color w:val="auto"/>
          <w:sz w:val="24"/>
          <w:szCs w:val="24"/>
          <w:highlight w:val="none"/>
        </w:rPr>
        <w:t xml:space="preserve"> 投标人在递交投标文件的同时，应按招标公告规定的金额、担保形式递交投标保证金，并作为其投标文件的组成部分。</w:t>
      </w:r>
    </w:p>
    <w:p w14:paraId="2B93DB13">
      <w:pPr>
        <w:spacing w:line="360" w:lineRule="auto"/>
        <w:ind w:firstLine="240" w:firstLineChars="100"/>
        <w:rPr>
          <w:rFonts w:hint="eastAsia"/>
          <w:color w:val="auto"/>
          <w:sz w:val="24"/>
          <w:szCs w:val="24"/>
          <w:highlight w:val="none"/>
        </w:rPr>
      </w:pPr>
      <w:r>
        <w:rPr>
          <w:color w:val="auto"/>
          <w:sz w:val="24"/>
          <w:szCs w:val="24"/>
          <w:highlight w:val="none"/>
        </w:rPr>
        <w:t>3.4.2 投标人不按招标公告要求提交投标保证金的，其投标文件招标人不予受理。</w:t>
      </w:r>
    </w:p>
    <w:p w14:paraId="5512290C">
      <w:pPr>
        <w:spacing w:line="360" w:lineRule="auto"/>
        <w:ind w:firstLine="240" w:firstLineChars="100"/>
        <w:rPr>
          <w:color w:val="auto"/>
          <w:sz w:val="24"/>
          <w:szCs w:val="24"/>
          <w:highlight w:val="none"/>
        </w:rPr>
      </w:pPr>
      <w:r>
        <w:rPr>
          <w:color w:val="auto"/>
          <w:sz w:val="24"/>
          <w:szCs w:val="24"/>
          <w:highlight w:val="none"/>
        </w:rPr>
        <w:t>3.4.3 招标人与中标人签订合同后5个工作日内，向未中标的投标人和中标人退还投标保证金。</w:t>
      </w:r>
    </w:p>
    <w:p w14:paraId="02179A44">
      <w:pPr>
        <w:spacing w:line="360" w:lineRule="auto"/>
        <w:ind w:firstLine="240" w:firstLineChars="100"/>
        <w:rPr>
          <w:color w:val="auto"/>
          <w:sz w:val="24"/>
          <w:szCs w:val="24"/>
          <w:highlight w:val="none"/>
        </w:rPr>
      </w:pPr>
      <w:r>
        <w:rPr>
          <w:color w:val="auto"/>
          <w:sz w:val="24"/>
          <w:szCs w:val="24"/>
          <w:highlight w:val="none"/>
        </w:rPr>
        <w:t xml:space="preserve">3.4.4 有下列情形之一的，投标保证金将不予退还： </w:t>
      </w:r>
    </w:p>
    <w:p w14:paraId="0FB363D4">
      <w:pPr>
        <w:spacing w:line="360" w:lineRule="auto"/>
        <w:ind w:firstLine="240" w:firstLineChars="100"/>
        <w:rPr>
          <w:color w:val="auto"/>
          <w:sz w:val="24"/>
          <w:szCs w:val="24"/>
          <w:highlight w:val="none"/>
        </w:rPr>
      </w:pPr>
      <w:r>
        <w:rPr>
          <w:color w:val="auto"/>
          <w:sz w:val="24"/>
          <w:szCs w:val="24"/>
          <w:highlight w:val="none"/>
        </w:rPr>
        <w:t>（1）投标人在规定的投标有效期内撤销或修改其投标文件；</w:t>
      </w:r>
    </w:p>
    <w:p w14:paraId="4BC834F1">
      <w:pPr>
        <w:spacing w:line="360" w:lineRule="auto"/>
        <w:ind w:firstLine="240" w:firstLineChars="100"/>
        <w:rPr>
          <w:rFonts w:hint="eastAsia"/>
          <w:color w:val="auto"/>
          <w:sz w:val="24"/>
          <w:szCs w:val="24"/>
          <w:highlight w:val="none"/>
        </w:rPr>
      </w:pPr>
      <w:r>
        <w:rPr>
          <w:color w:val="auto"/>
          <w:sz w:val="24"/>
          <w:szCs w:val="24"/>
          <w:highlight w:val="none"/>
        </w:rPr>
        <w:t>（2）中标人在收到中标通知书后，无正当理由拒签合同协议书或未按招标文件规定提交履约担保。</w:t>
      </w:r>
    </w:p>
    <w:p w14:paraId="620311E3">
      <w:pPr>
        <w:pStyle w:val="6"/>
        <w:spacing w:line="360" w:lineRule="auto"/>
        <w:rPr>
          <w:rFonts w:hint="eastAsia"/>
          <w:color w:val="auto"/>
          <w:szCs w:val="24"/>
          <w:highlight w:val="none"/>
        </w:rPr>
      </w:pPr>
      <w:bookmarkStart w:id="94" w:name="_Toc320951746"/>
      <w:bookmarkStart w:id="95" w:name="_Toc322004562"/>
      <w:bookmarkStart w:id="96" w:name="_Toc322004707"/>
      <w:bookmarkStart w:id="97" w:name="_Toc290118910"/>
      <w:bookmarkStart w:id="98" w:name="_Toc306711797"/>
      <w:bookmarkStart w:id="99" w:name="_Toc306609738"/>
      <w:bookmarkStart w:id="100" w:name="_Toc18404914"/>
      <w:bookmarkStart w:id="101" w:name="_Toc61616093"/>
      <w:bookmarkStart w:id="102" w:name="_Toc72846772"/>
      <w:r>
        <w:rPr>
          <w:rFonts w:hint="eastAsia"/>
          <w:color w:val="auto"/>
          <w:szCs w:val="24"/>
          <w:highlight w:val="none"/>
        </w:rPr>
        <w:t>3.5资格审查资料</w:t>
      </w:r>
      <w:bookmarkEnd w:id="94"/>
      <w:bookmarkEnd w:id="95"/>
      <w:bookmarkEnd w:id="96"/>
      <w:bookmarkEnd w:id="97"/>
      <w:bookmarkEnd w:id="98"/>
      <w:bookmarkEnd w:id="99"/>
      <w:bookmarkEnd w:id="100"/>
      <w:bookmarkEnd w:id="101"/>
      <w:bookmarkEnd w:id="102"/>
    </w:p>
    <w:p w14:paraId="3032CD87">
      <w:pPr>
        <w:spacing w:line="360" w:lineRule="auto"/>
        <w:jc w:val="left"/>
        <w:rPr>
          <w:rFonts w:hint="eastAsia" w:ascii="宋体" w:hAnsi="宋体"/>
          <w:color w:val="auto"/>
          <w:sz w:val="24"/>
          <w:szCs w:val="24"/>
          <w:highlight w:val="none"/>
        </w:rPr>
      </w:pPr>
      <w:r>
        <w:rPr>
          <w:rFonts w:hint="eastAsia"/>
          <w:color w:val="auto"/>
          <w:sz w:val="24"/>
          <w:szCs w:val="24"/>
          <w:highlight w:val="none"/>
        </w:rPr>
        <w:t xml:space="preserve"> </w:t>
      </w:r>
      <w:r>
        <w:rPr>
          <w:color w:val="auto"/>
          <w:sz w:val="24"/>
          <w:szCs w:val="24"/>
          <w:highlight w:val="none"/>
        </w:rPr>
        <w:t xml:space="preserve"> </w:t>
      </w:r>
      <w:r>
        <w:rPr>
          <w:rFonts w:hint="eastAsia"/>
          <w:color w:val="auto"/>
          <w:sz w:val="24"/>
          <w:szCs w:val="24"/>
          <w:highlight w:val="none"/>
        </w:rPr>
        <w:t xml:space="preserve"> 见投标文件格式</w:t>
      </w:r>
    </w:p>
    <w:p w14:paraId="557A6BE6">
      <w:pPr>
        <w:pStyle w:val="6"/>
        <w:spacing w:line="360" w:lineRule="auto"/>
        <w:rPr>
          <w:rFonts w:hint="eastAsia"/>
          <w:color w:val="auto"/>
          <w:szCs w:val="24"/>
          <w:highlight w:val="none"/>
        </w:rPr>
      </w:pPr>
      <w:bookmarkStart w:id="103" w:name="_Toc290118911"/>
      <w:bookmarkStart w:id="104" w:name="_Toc61616094"/>
      <w:bookmarkStart w:id="105" w:name="_Toc306609739"/>
      <w:bookmarkStart w:id="106" w:name="_Toc320951747"/>
      <w:bookmarkStart w:id="107" w:name="_Toc322004563"/>
      <w:bookmarkStart w:id="108" w:name="_Toc72846773"/>
      <w:bookmarkStart w:id="109" w:name="_Toc18404915"/>
      <w:bookmarkStart w:id="110" w:name="_Toc322004708"/>
      <w:bookmarkStart w:id="111" w:name="_Toc306711798"/>
      <w:r>
        <w:rPr>
          <w:rFonts w:hint="eastAsia"/>
          <w:color w:val="auto"/>
          <w:szCs w:val="24"/>
          <w:highlight w:val="none"/>
        </w:rPr>
        <w:t>3.6备选投标方案（本项目不适用）</w:t>
      </w:r>
      <w:bookmarkEnd w:id="103"/>
      <w:bookmarkEnd w:id="104"/>
      <w:bookmarkEnd w:id="105"/>
      <w:bookmarkEnd w:id="106"/>
      <w:bookmarkEnd w:id="107"/>
      <w:bookmarkEnd w:id="108"/>
      <w:bookmarkEnd w:id="109"/>
      <w:bookmarkEnd w:id="110"/>
      <w:bookmarkEnd w:id="111"/>
    </w:p>
    <w:p w14:paraId="2DE4F0E2">
      <w:pPr>
        <w:spacing w:line="360" w:lineRule="auto"/>
        <w:ind w:firstLine="480"/>
        <w:jc w:val="left"/>
        <w:rPr>
          <w:rFonts w:hint="eastAsia"/>
          <w:color w:val="auto"/>
          <w:sz w:val="24"/>
          <w:szCs w:val="24"/>
          <w:highlight w:val="none"/>
        </w:rPr>
      </w:pPr>
      <w:r>
        <w:rPr>
          <w:rFonts w:hint="eastAsia"/>
          <w:color w:val="auto"/>
          <w:sz w:val="24"/>
          <w:szCs w:val="24"/>
          <w:highlight w:val="none"/>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招标人可以接受该备选投标方案。</w:t>
      </w:r>
    </w:p>
    <w:p w14:paraId="71BD3342">
      <w:pPr>
        <w:pStyle w:val="6"/>
        <w:spacing w:line="360" w:lineRule="auto"/>
        <w:rPr>
          <w:rFonts w:hint="eastAsia"/>
          <w:color w:val="auto"/>
          <w:szCs w:val="24"/>
          <w:highlight w:val="none"/>
        </w:rPr>
      </w:pPr>
      <w:bookmarkStart w:id="112" w:name="_Toc18404916"/>
      <w:bookmarkStart w:id="113" w:name="_Toc61616095"/>
      <w:bookmarkStart w:id="114" w:name="_Toc72846774"/>
      <w:bookmarkStart w:id="115" w:name="_Toc322004564"/>
      <w:bookmarkStart w:id="116" w:name="_Toc290118912"/>
      <w:bookmarkStart w:id="117" w:name="_Toc320951748"/>
      <w:bookmarkStart w:id="118" w:name="_Toc306609740"/>
      <w:bookmarkStart w:id="119" w:name="_Toc306711799"/>
      <w:bookmarkStart w:id="120" w:name="_Toc322004709"/>
      <w:r>
        <w:rPr>
          <w:rFonts w:hint="eastAsia"/>
          <w:color w:val="auto"/>
          <w:szCs w:val="24"/>
          <w:highlight w:val="none"/>
        </w:rPr>
        <w:t>3.7投标文件的编制</w:t>
      </w:r>
      <w:bookmarkEnd w:id="112"/>
      <w:bookmarkEnd w:id="113"/>
      <w:bookmarkEnd w:id="114"/>
      <w:bookmarkEnd w:id="115"/>
      <w:bookmarkEnd w:id="116"/>
      <w:bookmarkEnd w:id="117"/>
      <w:bookmarkEnd w:id="118"/>
      <w:bookmarkEnd w:id="119"/>
      <w:bookmarkEnd w:id="120"/>
    </w:p>
    <w:p w14:paraId="5F32F9D9">
      <w:pPr>
        <w:spacing w:line="360" w:lineRule="auto"/>
        <w:jc w:val="left"/>
        <w:rPr>
          <w:rFonts w:hint="eastAsia"/>
          <w:color w:val="auto"/>
          <w:sz w:val="24"/>
          <w:szCs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3.7.1投标文件应按“投标文件格式”进行编写，如有必要，可以增加附页，作为投标文件的组成部分。其中，投标函附录在满足招标文件实质性要求的基础上，可以提出比招标文件要求更有利于招标人的承诺。</w:t>
      </w:r>
    </w:p>
    <w:p w14:paraId="4D7957CD">
      <w:pPr>
        <w:spacing w:line="360" w:lineRule="auto"/>
        <w:jc w:val="left"/>
        <w:rPr>
          <w:rFonts w:hint="eastAsia"/>
          <w:color w:val="auto"/>
          <w:sz w:val="24"/>
          <w:szCs w:val="24"/>
          <w:highlight w:val="none"/>
        </w:rPr>
      </w:pPr>
      <w:r>
        <w:rPr>
          <w:rFonts w:hint="eastAsia"/>
          <w:color w:val="auto"/>
          <w:sz w:val="24"/>
          <w:szCs w:val="24"/>
          <w:highlight w:val="none"/>
        </w:rPr>
        <w:t xml:space="preserve">    3.7.2投标文件应当对招标文件有关工期、投标有效期、质量要求、技术标准和要求、招标范围等实质性内容作出响应。</w:t>
      </w:r>
    </w:p>
    <w:p w14:paraId="143C3E6C">
      <w:pPr>
        <w:pStyle w:val="8"/>
        <w:numPr>
          <w:ilvl w:val="0"/>
          <w:numId w:val="0"/>
        </w:numPr>
        <w:snapToGrid w:val="0"/>
        <w:spacing w:line="360" w:lineRule="auto"/>
        <w:ind w:firstLine="240" w:firstLineChars="100"/>
        <w:rPr>
          <w:rFonts w:hint="eastAsia" w:ascii="宋体" w:hAnsi="宋体"/>
          <w:color w:val="auto"/>
          <w:sz w:val="24"/>
          <w:szCs w:val="24"/>
          <w:highlight w:val="none"/>
        </w:rPr>
      </w:pPr>
      <w:r>
        <w:rPr>
          <w:rFonts w:hint="eastAsia"/>
          <w:color w:val="auto"/>
          <w:sz w:val="24"/>
          <w:szCs w:val="24"/>
          <w:highlight w:val="none"/>
        </w:rPr>
        <w:t xml:space="preserve">  </w:t>
      </w:r>
      <w:r>
        <w:rPr>
          <w:rFonts w:hint="eastAsia" w:ascii="宋体" w:hAnsi="宋体"/>
          <w:color w:val="auto"/>
          <w:sz w:val="24"/>
          <w:szCs w:val="24"/>
          <w:highlight w:val="none"/>
        </w:rPr>
        <w:t>3.7.3“电子加密投标文件”：</w:t>
      </w:r>
    </w:p>
    <w:p w14:paraId="4ACED749">
      <w:pPr>
        <w:spacing w:line="360" w:lineRule="auto"/>
        <w:jc w:val="left"/>
        <w:rPr>
          <w:rFonts w:hint="eastAsia"/>
          <w:color w:val="auto"/>
          <w:sz w:val="24"/>
          <w:szCs w:val="24"/>
          <w:highlight w:val="none"/>
        </w:rPr>
      </w:pPr>
      <w:r>
        <w:rPr>
          <w:rFonts w:hint="eastAsia" w:ascii="宋体" w:hAnsi="宋体"/>
          <w:color w:val="auto"/>
          <w:sz w:val="24"/>
          <w:szCs w:val="24"/>
          <w:highlight w:val="none"/>
        </w:rPr>
        <w:t>（1）“电子加密投标文件”是指通过“化工云商网（巨化数字化招采平台）”完成投标文件编制后生成并加密的数据电文形式的投标文件。</w:t>
      </w:r>
    </w:p>
    <w:p w14:paraId="052FDA8B">
      <w:pPr>
        <w:pStyle w:val="5"/>
        <w:spacing w:line="360" w:lineRule="auto"/>
        <w:rPr>
          <w:rFonts w:hint="eastAsia"/>
          <w:color w:val="auto"/>
          <w:highlight w:val="none"/>
        </w:rPr>
      </w:pPr>
      <w:bookmarkStart w:id="121" w:name="_Toc72846775"/>
      <w:bookmarkStart w:id="122" w:name="_Toc18404917"/>
      <w:bookmarkStart w:id="123" w:name="_Toc61616096"/>
      <w:r>
        <w:rPr>
          <w:rFonts w:hint="eastAsia"/>
          <w:color w:val="auto"/>
          <w:highlight w:val="none"/>
        </w:rPr>
        <w:t>4.投标</w:t>
      </w:r>
      <w:bookmarkEnd w:id="121"/>
      <w:bookmarkEnd w:id="122"/>
      <w:bookmarkEnd w:id="123"/>
    </w:p>
    <w:p w14:paraId="77BC39AC">
      <w:pPr>
        <w:snapToGrid w:val="0"/>
        <w:spacing w:before="156" w:beforeLines="50" w:line="360" w:lineRule="auto"/>
        <w:ind w:firstLine="354" w:firstLineChars="147"/>
        <w:jc w:val="left"/>
        <w:rPr>
          <w:rFonts w:hint="eastAsia" w:ascii="宋体" w:hAnsi="宋体"/>
          <w:b/>
          <w:bCs/>
          <w:color w:val="auto"/>
          <w:sz w:val="24"/>
          <w:szCs w:val="24"/>
          <w:highlight w:val="none"/>
        </w:rPr>
      </w:pPr>
      <w:bookmarkStart w:id="124" w:name="_Toc290118916"/>
      <w:bookmarkStart w:id="125" w:name="_Toc72846778"/>
      <w:bookmarkStart w:id="126" w:name="_Toc322004568"/>
      <w:bookmarkStart w:id="127" w:name="_Toc306711803"/>
      <w:bookmarkStart w:id="128" w:name="_Toc322004713"/>
      <w:bookmarkStart w:id="129" w:name="_Toc61616099"/>
      <w:bookmarkStart w:id="130" w:name="_Toc320951752"/>
      <w:bookmarkStart w:id="131" w:name="_Toc18404920"/>
      <w:r>
        <w:rPr>
          <w:b/>
          <w:bCs/>
          <w:color w:val="auto"/>
          <w:sz w:val="24"/>
          <w:szCs w:val="24"/>
          <w:highlight w:val="none"/>
        </w:rPr>
        <w:t xml:space="preserve">4.1 </w:t>
      </w:r>
      <w:r>
        <w:rPr>
          <w:rFonts w:hint="eastAsia" w:ascii="宋体" w:hAnsi="宋体"/>
          <w:b/>
          <w:bCs/>
          <w:color w:val="auto"/>
          <w:sz w:val="24"/>
          <w:szCs w:val="24"/>
          <w:highlight w:val="none"/>
        </w:rPr>
        <w:t>投标文件的签章</w:t>
      </w:r>
    </w:p>
    <w:p w14:paraId="4A02F7E5">
      <w:pPr>
        <w:snapToGrid w:val="0"/>
        <w:spacing w:line="360" w:lineRule="auto"/>
        <w:ind w:firstLine="426"/>
        <w:jc w:val="left"/>
        <w:rPr>
          <w:rFonts w:hint="eastAsia" w:ascii="宋体" w:hAnsi="宋体"/>
          <w:color w:val="auto"/>
          <w:sz w:val="24"/>
          <w:szCs w:val="24"/>
          <w:highlight w:val="none"/>
        </w:rPr>
      </w:pPr>
      <w:r>
        <w:rPr>
          <w:rFonts w:hint="eastAsia" w:ascii="宋体" w:hAnsi="宋体"/>
          <w:color w:val="auto"/>
          <w:sz w:val="24"/>
          <w:szCs w:val="24"/>
          <w:highlight w:val="none"/>
        </w:rPr>
        <w:t>采用电子签章。</w:t>
      </w:r>
    </w:p>
    <w:p w14:paraId="2D0E037D">
      <w:pPr>
        <w:spacing w:line="360" w:lineRule="auto"/>
        <w:ind w:firstLine="241" w:firstLineChars="100"/>
        <w:rPr>
          <w:rFonts w:ascii="宋体" w:hAnsi="宋体"/>
          <w:b/>
          <w:color w:val="auto"/>
          <w:sz w:val="24"/>
          <w:szCs w:val="24"/>
          <w:highlight w:val="none"/>
        </w:rPr>
      </w:pPr>
      <w:r>
        <w:rPr>
          <w:rFonts w:hint="eastAsia"/>
          <w:b/>
          <w:bCs/>
          <w:color w:val="auto"/>
          <w:sz w:val="24"/>
          <w:szCs w:val="24"/>
          <w:highlight w:val="none"/>
        </w:rPr>
        <w:t>4.2</w:t>
      </w:r>
      <w:r>
        <w:rPr>
          <w:b/>
          <w:bCs/>
          <w:color w:val="auto"/>
          <w:sz w:val="24"/>
          <w:szCs w:val="24"/>
          <w:highlight w:val="none"/>
        </w:rPr>
        <w:t xml:space="preserve"> </w:t>
      </w:r>
      <w:r>
        <w:rPr>
          <w:rFonts w:hint="eastAsia" w:ascii="宋体" w:hAnsi="宋体"/>
          <w:b/>
          <w:bCs/>
          <w:color w:val="auto"/>
          <w:sz w:val="24"/>
          <w:szCs w:val="24"/>
          <w:highlight w:val="none"/>
        </w:rPr>
        <w:t>投标</w:t>
      </w:r>
      <w:r>
        <w:rPr>
          <w:rFonts w:hint="eastAsia" w:ascii="宋体" w:hAnsi="宋体"/>
          <w:b/>
          <w:color w:val="auto"/>
          <w:sz w:val="24"/>
          <w:szCs w:val="24"/>
          <w:highlight w:val="none"/>
        </w:rPr>
        <w:t>文件的包装、密封和递交</w:t>
      </w:r>
    </w:p>
    <w:p w14:paraId="10C495D0">
      <w:pPr>
        <w:adjustRightInd w:val="0"/>
        <w:snapToGrid w:val="0"/>
        <w:spacing w:line="360" w:lineRule="auto"/>
        <w:ind w:firstLine="426"/>
        <w:jc w:val="left"/>
        <w:rPr>
          <w:rFonts w:hint="eastAsia" w:ascii="宋体"/>
          <w:bCs/>
          <w:color w:val="auto"/>
          <w:sz w:val="24"/>
          <w:szCs w:val="24"/>
          <w:highlight w:val="none"/>
        </w:rPr>
      </w:pPr>
      <w:r>
        <w:rPr>
          <w:rFonts w:hint="eastAsia" w:ascii="宋体"/>
          <w:bCs/>
          <w:color w:val="auto"/>
          <w:sz w:val="24"/>
          <w:szCs w:val="24"/>
          <w:highlight w:val="none"/>
        </w:rPr>
        <w:t>1.“电子加密投标文件”的递交：投标人应在投标截止时间前将“电子加密投标文件”成功上传递交至“巨化数字化招采平台”，否则投标无效。</w:t>
      </w:r>
    </w:p>
    <w:p w14:paraId="1DF6095F">
      <w:pPr>
        <w:adjustRightInd w:val="0"/>
        <w:snapToGrid w:val="0"/>
        <w:spacing w:line="360" w:lineRule="auto"/>
        <w:ind w:firstLine="426"/>
        <w:jc w:val="left"/>
        <w:rPr>
          <w:rFonts w:hint="eastAsia" w:ascii="宋体"/>
          <w:bCs/>
          <w:color w:val="auto"/>
          <w:sz w:val="24"/>
          <w:szCs w:val="24"/>
          <w:highlight w:val="none"/>
        </w:rPr>
      </w:pPr>
      <w:r>
        <w:rPr>
          <w:rFonts w:hint="eastAsia" w:ascii="宋体"/>
          <w:bCs/>
          <w:color w:val="auto"/>
          <w:sz w:val="24"/>
          <w:szCs w:val="24"/>
          <w:highlight w:val="none"/>
        </w:rPr>
        <w:t>2.“纸质投标文件”：</w:t>
      </w:r>
    </w:p>
    <w:p w14:paraId="35C822F1">
      <w:pPr>
        <w:adjustRightInd w:val="0"/>
        <w:snapToGrid w:val="0"/>
        <w:spacing w:line="360" w:lineRule="auto"/>
        <w:ind w:firstLine="426"/>
        <w:jc w:val="left"/>
        <w:rPr>
          <w:rFonts w:hint="eastAsia" w:ascii="宋体"/>
          <w:bCs/>
          <w:color w:val="auto"/>
          <w:sz w:val="24"/>
          <w:szCs w:val="24"/>
          <w:highlight w:val="none"/>
        </w:rPr>
      </w:pPr>
      <w:r>
        <w:rPr>
          <w:rFonts w:hint="eastAsia" w:ascii="宋体"/>
          <w:bCs/>
          <w:color w:val="auto"/>
          <w:sz w:val="24"/>
          <w:szCs w:val="24"/>
          <w:highlight w:val="none"/>
        </w:rPr>
        <w:t>技术资信标书正本1份、副本2份；</w:t>
      </w:r>
    </w:p>
    <w:p w14:paraId="6CACFAE5">
      <w:pPr>
        <w:adjustRightInd w:val="0"/>
        <w:snapToGrid w:val="0"/>
        <w:spacing w:line="360" w:lineRule="auto"/>
        <w:ind w:firstLine="426"/>
        <w:jc w:val="left"/>
        <w:rPr>
          <w:rFonts w:hint="eastAsia" w:ascii="宋体"/>
          <w:bCs/>
          <w:color w:val="auto"/>
          <w:sz w:val="24"/>
          <w:szCs w:val="24"/>
          <w:highlight w:val="none"/>
        </w:rPr>
      </w:pPr>
      <w:r>
        <w:rPr>
          <w:rFonts w:hint="eastAsia" w:ascii="宋体"/>
          <w:bCs/>
          <w:color w:val="auto"/>
          <w:sz w:val="24"/>
          <w:szCs w:val="24"/>
          <w:highlight w:val="none"/>
        </w:rPr>
        <w:t>商务经济标书正本1份、副本2份。</w:t>
      </w:r>
    </w:p>
    <w:p w14:paraId="206ECECF">
      <w:pPr>
        <w:adjustRightInd w:val="0"/>
        <w:snapToGrid w:val="0"/>
        <w:spacing w:line="360" w:lineRule="auto"/>
        <w:ind w:firstLine="426"/>
        <w:jc w:val="left"/>
        <w:rPr>
          <w:rFonts w:hint="eastAsia" w:ascii="宋体"/>
          <w:bCs/>
          <w:color w:val="auto"/>
          <w:sz w:val="24"/>
          <w:szCs w:val="24"/>
          <w:highlight w:val="none"/>
        </w:rPr>
      </w:pPr>
      <w:r>
        <w:rPr>
          <w:rFonts w:hint="eastAsia" w:ascii="宋体"/>
          <w:color w:val="auto"/>
          <w:sz w:val="24"/>
          <w:szCs w:val="24"/>
          <w:highlight w:val="none"/>
        </w:rPr>
        <w:t>纸质投标文件可以是加盖公章的投标文件或签电子章的投标文件，纸质投标文件和电子投标文件不一致的以电子投标文件为准，但投标人有义务保持一致，否则所导致的不利评审后果由投标人自行承担。</w:t>
      </w:r>
    </w:p>
    <w:p w14:paraId="2C50D9FB">
      <w:pPr>
        <w:pStyle w:val="6"/>
        <w:spacing w:line="360" w:lineRule="auto"/>
        <w:rPr>
          <w:rFonts w:hint="eastAsia"/>
          <w:color w:val="auto"/>
          <w:szCs w:val="24"/>
          <w:highlight w:val="none"/>
        </w:rPr>
      </w:pPr>
      <w:r>
        <w:rPr>
          <w:rFonts w:hint="eastAsia"/>
          <w:color w:val="auto"/>
          <w:szCs w:val="24"/>
          <w:highlight w:val="none"/>
        </w:rPr>
        <w:t>4.3投标文件的修改与撤回</w:t>
      </w:r>
      <w:bookmarkEnd w:id="124"/>
      <w:bookmarkEnd w:id="125"/>
      <w:bookmarkEnd w:id="126"/>
      <w:bookmarkEnd w:id="127"/>
      <w:bookmarkEnd w:id="128"/>
      <w:bookmarkEnd w:id="129"/>
      <w:bookmarkEnd w:id="130"/>
      <w:bookmarkEnd w:id="131"/>
    </w:p>
    <w:p w14:paraId="24E33B12">
      <w:pPr>
        <w:autoSpaceDE w:val="0"/>
        <w:autoSpaceDN w:val="0"/>
        <w:snapToGrid w:val="0"/>
        <w:spacing w:line="360" w:lineRule="auto"/>
        <w:ind w:left="479" w:leftChars="228"/>
        <w:textAlignment w:val="bottom"/>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t>1、投标人在投标截止时间前可以补充、修改或者撤回投标文件。</w:t>
      </w:r>
    </w:p>
    <w:p w14:paraId="26591379">
      <w:pPr>
        <w:autoSpaceDE w:val="0"/>
        <w:autoSpaceDN w:val="0"/>
        <w:snapToGrid w:val="0"/>
        <w:spacing w:line="360" w:lineRule="auto"/>
        <w:ind w:firstLine="480" w:firstLineChars="200"/>
        <w:textAlignment w:val="bottom"/>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t>2、补充或者修改投标文件的，应当先行撤回原投标文件，补充、修改后重新上传递交。</w:t>
      </w:r>
    </w:p>
    <w:p w14:paraId="2BB11577">
      <w:pPr>
        <w:autoSpaceDE w:val="0"/>
        <w:autoSpaceDN w:val="0"/>
        <w:snapToGrid w:val="0"/>
        <w:spacing w:line="360" w:lineRule="auto"/>
        <w:ind w:left="479" w:leftChars="228"/>
        <w:textAlignment w:val="bottom"/>
        <w:rPr>
          <w:rFonts w:hint="eastAsia"/>
          <w:color w:val="auto"/>
          <w:sz w:val="24"/>
          <w:szCs w:val="24"/>
          <w:highlight w:val="none"/>
        </w:rPr>
      </w:pPr>
      <w:r>
        <w:rPr>
          <w:rFonts w:hint="eastAsia" w:ascii="宋体" w:hAnsi="宋体" w:cs="宋体"/>
          <w:color w:val="auto"/>
          <w:sz w:val="24"/>
          <w:szCs w:val="24"/>
          <w:highlight w:val="none"/>
          <w:lang w:bidi="ar"/>
        </w:rPr>
        <w:t>3、投标截止时间前未完成上传的，视为撤回投标文件。</w:t>
      </w:r>
    </w:p>
    <w:p w14:paraId="1EAF5872">
      <w:pPr>
        <w:pStyle w:val="5"/>
        <w:spacing w:line="360" w:lineRule="auto"/>
        <w:rPr>
          <w:rFonts w:hint="eastAsia"/>
          <w:color w:val="auto"/>
          <w:highlight w:val="none"/>
        </w:rPr>
      </w:pPr>
      <w:bookmarkStart w:id="132" w:name="_Toc72846779"/>
      <w:bookmarkStart w:id="133" w:name="_Toc61616100"/>
      <w:bookmarkStart w:id="134" w:name="_Toc18404921"/>
      <w:r>
        <w:rPr>
          <w:rFonts w:hint="eastAsia"/>
          <w:color w:val="auto"/>
          <w:highlight w:val="none"/>
        </w:rPr>
        <w:t>5.开标</w:t>
      </w:r>
      <w:bookmarkEnd w:id="132"/>
      <w:bookmarkEnd w:id="133"/>
      <w:bookmarkEnd w:id="134"/>
    </w:p>
    <w:p w14:paraId="7ED8FE1C">
      <w:pPr>
        <w:autoSpaceDE w:val="0"/>
        <w:autoSpaceDN w:val="0"/>
        <w:adjustRightInd w:val="0"/>
        <w:snapToGrid w:val="0"/>
        <w:spacing w:line="360" w:lineRule="auto"/>
        <w:ind w:firstLine="482" w:firstLineChars="200"/>
        <w:textAlignment w:val="bottom"/>
        <w:rPr>
          <w:rFonts w:ascii="宋体" w:cs="宋体"/>
          <w:b/>
          <w:sz w:val="24"/>
          <w:highlight w:val="none"/>
        </w:rPr>
      </w:pPr>
      <w:bookmarkStart w:id="135" w:name="_Toc72846782"/>
      <w:bookmarkStart w:id="136" w:name="_Toc18404924"/>
      <w:bookmarkStart w:id="137" w:name="_Toc61616103"/>
      <w:r>
        <w:rPr>
          <w:rFonts w:hint="eastAsia" w:ascii="宋体" w:cs="宋体"/>
          <w:b/>
          <w:sz w:val="24"/>
          <w:highlight w:val="none"/>
        </w:rPr>
        <w:t>5.1开标形式</w:t>
      </w:r>
    </w:p>
    <w:p w14:paraId="214D62B7">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招标组织机构将按照招标文件规定的时间通过”巨化数字化招采平台”组织在线开标，所有投标人均应当准时在线参加。</w:t>
      </w:r>
    </w:p>
    <w:p w14:paraId="46A18FFA">
      <w:pPr>
        <w:autoSpaceDE w:val="0"/>
        <w:autoSpaceDN w:val="0"/>
        <w:adjustRightInd w:val="0"/>
        <w:snapToGrid w:val="0"/>
        <w:spacing w:line="360" w:lineRule="auto"/>
        <w:ind w:firstLine="482" w:firstLineChars="200"/>
        <w:textAlignment w:val="bottom"/>
        <w:rPr>
          <w:rFonts w:ascii="宋体" w:cs="宋体"/>
          <w:b/>
          <w:sz w:val="24"/>
          <w:highlight w:val="none"/>
        </w:rPr>
      </w:pPr>
      <w:r>
        <w:rPr>
          <w:rFonts w:hint="eastAsia" w:ascii="宋体" w:cs="宋体"/>
          <w:b/>
          <w:sz w:val="24"/>
          <w:highlight w:val="none"/>
        </w:rPr>
        <w:t>5.2开标准备</w:t>
      </w:r>
    </w:p>
    <w:p w14:paraId="309FE4A5">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1.开标的准备工作由招标组织机构负责落实。</w:t>
      </w:r>
    </w:p>
    <w:p w14:paraId="4F658823">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2.招标组织机构将按照招标文件规定的时间通过”巨化数字化招采平台”组织开标，所有投标人均应当准时在线参加。投标人自行承担因不参加在线开标而产生的不利后果。</w:t>
      </w:r>
    </w:p>
    <w:p w14:paraId="45C7526A">
      <w:pPr>
        <w:autoSpaceDE w:val="0"/>
        <w:autoSpaceDN w:val="0"/>
        <w:adjustRightInd w:val="0"/>
        <w:snapToGrid w:val="0"/>
        <w:spacing w:line="360" w:lineRule="auto"/>
        <w:ind w:firstLine="482" w:firstLineChars="200"/>
        <w:textAlignment w:val="bottom"/>
        <w:rPr>
          <w:rFonts w:ascii="宋体" w:cs="宋体"/>
          <w:b/>
          <w:sz w:val="24"/>
          <w:highlight w:val="none"/>
        </w:rPr>
      </w:pPr>
      <w:r>
        <w:rPr>
          <w:rFonts w:hint="eastAsia" w:ascii="宋体" w:cs="宋体"/>
          <w:b/>
          <w:sz w:val="24"/>
          <w:highlight w:val="none"/>
        </w:rPr>
        <w:t>5.3开标流程</w:t>
      </w:r>
    </w:p>
    <w:p w14:paraId="6BA5CF2E">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1.开标第一阶段</w:t>
      </w:r>
    </w:p>
    <w:p w14:paraId="2702DFA2">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（1）投标人在投标截止时间开始“电子加密投标文件”解密。</w:t>
      </w:r>
    </w:p>
    <w:p w14:paraId="4A06516C">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（2）对投标人的技术资信标书进行资格审查。</w:t>
      </w:r>
    </w:p>
    <w:p w14:paraId="1ABFF9EC">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（3）对通过资格审查的投标文件进行符合性审查。</w:t>
      </w:r>
    </w:p>
    <w:p w14:paraId="70DCB05C">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（4）对通过符合性审查的投标文件进行技术资信评审评分。</w:t>
      </w:r>
    </w:p>
    <w:p w14:paraId="271E88D4">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2.开标第二阶段</w:t>
      </w:r>
    </w:p>
    <w:p w14:paraId="5983DFD2">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（1）技术资信评审评分结束后，进入开标第二阶段。</w:t>
      </w:r>
    </w:p>
    <w:p w14:paraId="18923231">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（2）开启有效投标人的商务经济标书。</w:t>
      </w:r>
    </w:p>
    <w:p w14:paraId="03CC3C25">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（3）对商务经济标书进行符合性审查。</w:t>
      </w:r>
    </w:p>
    <w:p w14:paraId="0CF7C937">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（4）对通过符合性审查的投标文件进行商务经济评审评分。商务经济标书评审结束后，通过电子交易平台公布综合得分，通过电子交易平台公布中标候选人名单（排名不分先后）。</w:t>
      </w:r>
    </w:p>
    <w:p w14:paraId="4D49B443">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3.其他说明：</w:t>
      </w:r>
    </w:p>
    <w:p w14:paraId="1D8FE67C">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（1）如投标人未及时解密的，评标委员会将视情况发出通知，投标人应在评标委员会通知的时间内解密，否则不作为投标人。</w:t>
      </w:r>
    </w:p>
    <w:p w14:paraId="59497F28">
      <w:pPr>
        <w:autoSpaceDE w:val="0"/>
        <w:autoSpaceDN w:val="0"/>
        <w:adjustRightInd w:val="0"/>
        <w:snapToGrid w:val="0"/>
        <w:spacing w:line="360" w:lineRule="auto"/>
        <w:ind w:firstLine="480" w:firstLineChars="200"/>
        <w:textAlignment w:val="bottom"/>
        <w:rPr>
          <w:rFonts w:ascii="宋体" w:cs="宋体"/>
          <w:sz w:val="24"/>
          <w:highlight w:val="none"/>
        </w:rPr>
      </w:pPr>
      <w:r>
        <w:rPr>
          <w:rFonts w:hint="eastAsia" w:ascii="宋体" w:cs="宋体"/>
          <w:sz w:val="24"/>
          <w:highlight w:val="none"/>
        </w:rPr>
        <w:t>（2）如因电子交易平台设置原因导致的程序或投标人界面显示与招标文件的规定不一致的，以电子交易平台的程序或投标人界面显示为准。</w:t>
      </w:r>
    </w:p>
    <w:p w14:paraId="1A5A65DC">
      <w:pPr>
        <w:pStyle w:val="5"/>
        <w:spacing w:line="360" w:lineRule="auto"/>
        <w:rPr>
          <w:rFonts w:hint="eastAsia"/>
          <w:color w:val="auto"/>
          <w:highlight w:val="none"/>
        </w:rPr>
      </w:pPr>
      <w:r>
        <w:rPr>
          <w:rFonts w:hint="eastAsia"/>
          <w:color w:val="auto"/>
          <w:highlight w:val="none"/>
        </w:rPr>
        <w:t>6.评标</w:t>
      </w:r>
      <w:bookmarkEnd w:id="135"/>
      <w:bookmarkEnd w:id="136"/>
      <w:bookmarkEnd w:id="137"/>
    </w:p>
    <w:p w14:paraId="262A8215">
      <w:pPr>
        <w:pStyle w:val="6"/>
        <w:spacing w:line="360" w:lineRule="auto"/>
        <w:rPr>
          <w:rFonts w:hint="eastAsia"/>
          <w:color w:val="auto"/>
          <w:szCs w:val="24"/>
          <w:highlight w:val="none"/>
        </w:rPr>
      </w:pPr>
      <w:bookmarkStart w:id="138" w:name="_Toc306711808"/>
      <w:bookmarkStart w:id="139" w:name="_Toc322004573"/>
      <w:bookmarkStart w:id="140" w:name="_Toc290118921"/>
      <w:bookmarkStart w:id="141" w:name="_Toc18404925"/>
      <w:bookmarkStart w:id="142" w:name="_Toc72846783"/>
      <w:bookmarkStart w:id="143" w:name="_Toc322004718"/>
      <w:bookmarkStart w:id="144" w:name="_Toc320951757"/>
      <w:bookmarkStart w:id="145" w:name="_Toc61616104"/>
      <w:r>
        <w:rPr>
          <w:rFonts w:hint="eastAsia"/>
          <w:color w:val="auto"/>
          <w:szCs w:val="24"/>
          <w:highlight w:val="none"/>
        </w:rPr>
        <w:t>6.1评标委员会</w:t>
      </w:r>
      <w:bookmarkEnd w:id="138"/>
      <w:bookmarkEnd w:id="139"/>
      <w:bookmarkEnd w:id="140"/>
      <w:bookmarkEnd w:id="141"/>
      <w:bookmarkEnd w:id="142"/>
      <w:bookmarkEnd w:id="143"/>
      <w:bookmarkEnd w:id="144"/>
      <w:bookmarkEnd w:id="145"/>
    </w:p>
    <w:p w14:paraId="63DDE3C0">
      <w:pPr>
        <w:spacing w:line="360" w:lineRule="auto"/>
        <w:ind w:firstLine="240" w:firstLineChars="100"/>
        <w:rPr>
          <w:sz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6.1.1</w:t>
      </w:r>
      <w:r>
        <w:rPr>
          <w:sz w:val="24"/>
          <w:highlight w:val="none"/>
        </w:rPr>
        <w:t>评标委员会</w:t>
      </w:r>
      <w:r>
        <w:rPr>
          <w:rFonts w:hint="eastAsia"/>
          <w:sz w:val="24"/>
          <w:highlight w:val="none"/>
        </w:rPr>
        <w:t>由招标人代表和有关技术、经济等方面的专家组成，成员人数应当为五人及以上单数。其中，技术、经济等方面的专家不得少于成员总数的三分之二。</w:t>
      </w:r>
    </w:p>
    <w:p w14:paraId="23B30BE8">
      <w:pPr>
        <w:spacing w:line="360" w:lineRule="auto"/>
        <w:ind w:firstLine="240" w:firstLineChars="100"/>
        <w:rPr>
          <w:color w:val="auto"/>
          <w:sz w:val="24"/>
          <w:szCs w:val="24"/>
          <w:highlight w:val="none"/>
        </w:rPr>
      </w:pPr>
      <w:r>
        <w:rPr>
          <w:color w:val="auto"/>
          <w:sz w:val="24"/>
          <w:szCs w:val="24"/>
          <w:highlight w:val="none"/>
        </w:rPr>
        <w:t>6.1.2 评标委员会成员有下列情形之一的，应当回避：</w:t>
      </w:r>
    </w:p>
    <w:p w14:paraId="6C188C48">
      <w:pPr>
        <w:spacing w:line="360" w:lineRule="auto"/>
        <w:ind w:firstLine="240" w:firstLineChars="100"/>
        <w:rPr>
          <w:color w:val="auto"/>
          <w:sz w:val="24"/>
          <w:szCs w:val="24"/>
          <w:highlight w:val="none"/>
        </w:rPr>
      </w:pPr>
      <w:r>
        <w:rPr>
          <w:color w:val="auto"/>
          <w:sz w:val="24"/>
          <w:szCs w:val="24"/>
          <w:highlight w:val="none"/>
        </w:rPr>
        <w:t>（1）招标人或投标人的主要负责人的近亲属；</w:t>
      </w:r>
    </w:p>
    <w:p w14:paraId="3972C84D">
      <w:pPr>
        <w:spacing w:line="360" w:lineRule="auto"/>
        <w:ind w:firstLine="240" w:firstLineChars="100"/>
        <w:rPr>
          <w:color w:val="auto"/>
          <w:sz w:val="24"/>
          <w:szCs w:val="24"/>
          <w:highlight w:val="none"/>
        </w:rPr>
      </w:pPr>
      <w:r>
        <w:rPr>
          <w:color w:val="auto"/>
          <w:sz w:val="24"/>
          <w:szCs w:val="24"/>
          <w:highlight w:val="none"/>
        </w:rPr>
        <w:t>（2）项目主管部门或者行政监督部门的人员；</w:t>
      </w:r>
    </w:p>
    <w:p w14:paraId="5BAC684C">
      <w:pPr>
        <w:spacing w:line="360" w:lineRule="auto"/>
        <w:ind w:firstLine="240" w:firstLineChars="100"/>
        <w:rPr>
          <w:color w:val="auto"/>
          <w:sz w:val="24"/>
          <w:szCs w:val="24"/>
          <w:highlight w:val="none"/>
        </w:rPr>
      </w:pPr>
      <w:r>
        <w:rPr>
          <w:color w:val="auto"/>
          <w:sz w:val="24"/>
          <w:szCs w:val="24"/>
          <w:highlight w:val="none"/>
        </w:rPr>
        <w:t>（3）与投标人有经济利益关系，可能影响对投标公正评审的；</w:t>
      </w:r>
    </w:p>
    <w:p w14:paraId="0A5B82B9">
      <w:pPr>
        <w:spacing w:line="360" w:lineRule="auto"/>
        <w:ind w:firstLine="240" w:firstLineChars="100"/>
        <w:rPr>
          <w:rFonts w:hint="eastAsia"/>
          <w:color w:val="auto"/>
          <w:sz w:val="24"/>
          <w:szCs w:val="24"/>
          <w:highlight w:val="none"/>
        </w:rPr>
      </w:pPr>
      <w:r>
        <w:rPr>
          <w:color w:val="auto"/>
          <w:sz w:val="24"/>
          <w:szCs w:val="24"/>
          <w:highlight w:val="none"/>
        </w:rPr>
        <w:t>（4）曾因在招标、评标以及其他与招标投标有关活动中从事违法行为而受过行政处罚或刑事处罚的。</w:t>
      </w:r>
    </w:p>
    <w:p w14:paraId="61D1F7D8">
      <w:pPr>
        <w:pStyle w:val="6"/>
        <w:spacing w:line="360" w:lineRule="auto"/>
        <w:rPr>
          <w:rFonts w:hint="eastAsia"/>
          <w:color w:val="auto"/>
          <w:szCs w:val="24"/>
          <w:highlight w:val="none"/>
        </w:rPr>
      </w:pPr>
      <w:bookmarkStart w:id="146" w:name="_Toc72846784"/>
      <w:bookmarkStart w:id="147" w:name="_Toc322004574"/>
      <w:bookmarkStart w:id="148" w:name="_Toc18404926"/>
      <w:bookmarkStart w:id="149" w:name="_Toc306711809"/>
      <w:bookmarkStart w:id="150" w:name="_Toc322004719"/>
      <w:bookmarkStart w:id="151" w:name="_Toc290118922"/>
      <w:bookmarkStart w:id="152" w:name="_Toc61616105"/>
      <w:bookmarkStart w:id="153" w:name="_Toc320951758"/>
      <w:r>
        <w:rPr>
          <w:rFonts w:hint="eastAsia"/>
          <w:color w:val="auto"/>
          <w:szCs w:val="24"/>
          <w:highlight w:val="none"/>
        </w:rPr>
        <w:t>6.2评标原则</w:t>
      </w:r>
      <w:bookmarkEnd w:id="146"/>
      <w:bookmarkEnd w:id="147"/>
      <w:bookmarkEnd w:id="148"/>
      <w:bookmarkEnd w:id="149"/>
      <w:bookmarkEnd w:id="150"/>
      <w:bookmarkEnd w:id="151"/>
      <w:bookmarkEnd w:id="152"/>
      <w:bookmarkEnd w:id="153"/>
    </w:p>
    <w:p w14:paraId="7B0B4848">
      <w:pPr>
        <w:spacing w:line="360" w:lineRule="auto"/>
        <w:jc w:val="lef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评标活动遵循公平、公正、科学和择优的原则。</w:t>
      </w:r>
    </w:p>
    <w:p w14:paraId="576375BE">
      <w:pPr>
        <w:pStyle w:val="6"/>
        <w:spacing w:line="360" w:lineRule="auto"/>
        <w:rPr>
          <w:rFonts w:hint="eastAsia"/>
          <w:color w:val="auto"/>
          <w:szCs w:val="24"/>
          <w:highlight w:val="none"/>
        </w:rPr>
      </w:pPr>
      <w:bookmarkStart w:id="154" w:name="_Toc322004720"/>
      <w:bookmarkStart w:id="155" w:name="_Toc322004575"/>
      <w:bookmarkStart w:id="156" w:name="_Toc18404927"/>
      <w:bookmarkStart w:id="157" w:name="_Toc320951759"/>
      <w:bookmarkStart w:id="158" w:name="_Toc61616106"/>
      <w:bookmarkStart w:id="159" w:name="_Toc306711810"/>
      <w:bookmarkStart w:id="160" w:name="_Toc72846785"/>
      <w:bookmarkStart w:id="161" w:name="_Toc290118923"/>
      <w:r>
        <w:rPr>
          <w:rFonts w:hint="eastAsia"/>
          <w:color w:val="auto"/>
          <w:szCs w:val="24"/>
          <w:highlight w:val="none"/>
        </w:rPr>
        <w:t>6.3</w:t>
      </w:r>
      <w:bookmarkEnd w:id="154"/>
      <w:bookmarkEnd w:id="155"/>
      <w:bookmarkEnd w:id="156"/>
      <w:bookmarkEnd w:id="157"/>
      <w:bookmarkEnd w:id="158"/>
      <w:bookmarkEnd w:id="159"/>
      <w:bookmarkEnd w:id="160"/>
      <w:bookmarkEnd w:id="161"/>
      <w:r>
        <w:rPr>
          <w:rFonts w:hAnsi="宋体"/>
          <w:color w:val="auto"/>
          <w:szCs w:val="24"/>
          <w:highlight w:val="none"/>
        </w:rPr>
        <w:t>评标程序</w:t>
      </w:r>
    </w:p>
    <w:p w14:paraId="52375860">
      <w:pPr>
        <w:pStyle w:val="13"/>
        <w:snapToGrid w:val="0"/>
        <w:spacing w:line="360" w:lineRule="auto"/>
        <w:ind w:firstLine="426"/>
        <w:rPr>
          <w:rFonts w:hAnsi="宋体"/>
          <w:color w:val="auto"/>
          <w:sz w:val="24"/>
          <w:szCs w:val="24"/>
          <w:highlight w:val="none"/>
        </w:rPr>
      </w:pPr>
      <w:r>
        <w:rPr>
          <w:rFonts w:hAnsi="宋体"/>
          <w:color w:val="auto"/>
          <w:sz w:val="24"/>
          <w:szCs w:val="24"/>
          <w:highlight w:val="none"/>
        </w:rPr>
        <w:t>1.在</w:t>
      </w:r>
      <w:r>
        <w:rPr>
          <w:rFonts w:hint="eastAsia" w:hAnsi="宋体"/>
          <w:color w:val="auto"/>
          <w:sz w:val="24"/>
          <w:szCs w:val="24"/>
          <w:highlight w:val="none"/>
        </w:rPr>
        <w:t>评标委员会</w:t>
      </w:r>
      <w:r>
        <w:rPr>
          <w:rFonts w:hAnsi="宋体"/>
          <w:color w:val="auto"/>
          <w:sz w:val="24"/>
          <w:szCs w:val="24"/>
          <w:highlight w:val="none"/>
        </w:rPr>
        <w:t>中推选组长。</w:t>
      </w:r>
    </w:p>
    <w:p w14:paraId="7D460BE1">
      <w:pPr>
        <w:pStyle w:val="13"/>
        <w:snapToGrid w:val="0"/>
        <w:spacing w:line="360" w:lineRule="auto"/>
        <w:ind w:firstLine="426"/>
        <w:rPr>
          <w:rFonts w:hAnsi="宋体"/>
          <w:color w:val="auto"/>
          <w:sz w:val="24"/>
          <w:szCs w:val="24"/>
          <w:highlight w:val="none"/>
        </w:rPr>
      </w:pPr>
      <w:r>
        <w:rPr>
          <w:rFonts w:hAnsi="宋体"/>
          <w:color w:val="auto"/>
          <w:sz w:val="24"/>
          <w:szCs w:val="24"/>
          <w:highlight w:val="none"/>
        </w:rPr>
        <w:t>2.</w:t>
      </w:r>
      <w:r>
        <w:rPr>
          <w:rFonts w:hint="eastAsia" w:hAnsi="宋体"/>
          <w:color w:val="auto"/>
          <w:sz w:val="24"/>
          <w:szCs w:val="24"/>
          <w:highlight w:val="none"/>
        </w:rPr>
        <w:t xml:space="preserve"> 评标委员会</w:t>
      </w:r>
      <w:r>
        <w:rPr>
          <w:rFonts w:hAnsi="宋体"/>
          <w:color w:val="auto"/>
          <w:sz w:val="24"/>
          <w:szCs w:val="24"/>
          <w:highlight w:val="none"/>
        </w:rPr>
        <w:t>组长召集成员认真阅读招标文件以及相关补充、质疑、答复文件、项目书面说明等材料，熟悉采购项目的基本概况，采购项目的质量要求、数量、主要技术标准或服务需求，采购合同主要条款，投标无效情形，评审方法、评审依据、评审标准等。</w:t>
      </w:r>
    </w:p>
    <w:p w14:paraId="01078CB9">
      <w:pPr>
        <w:pStyle w:val="13"/>
        <w:snapToGrid w:val="0"/>
        <w:spacing w:line="360" w:lineRule="auto"/>
        <w:ind w:firstLine="426"/>
        <w:rPr>
          <w:rFonts w:hAnsi="宋体"/>
          <w:color w:val="auto"/>
          <w:sz w:val="24"/>
          <w:szCs w:val="24"/>
          <w:highlight w:val="none"/>
        </w:rPr>
      </w:pPr>
      <w:r>
        <w:rPr>
          <w:rFonts w:hAnsi="宋体"/>
          <w:color w:val="auto"/>
          <w:sz w:val="24"/>
          <w:szCs w:val="24"/>
          <w:highlight w:val="none"/>
        </w:rPr>
        <w:t>3.评标委员会对各投标人的资格进行审查，投标人资格条件不符合招标文件要求的投标将被否决，</w:t>
      </w:r>
      <w:r>
        <w:rPr>
          <w:rFonts w:hAnsi="宋体"/>
          <w:bCs/>
          <w:color w:val="auto"/>
          <w:sz w:val="24"/>
          <w:szCs w:val="24"/>
          <w:highlight w:val="none"/>
        </w:rPr>
        <w:t>不再进入符合性审查。</w:t>
      </w:r>
    </w:p>
    <w:p w14:paraId="1C58F349">
      <w:pPr>
        <w:pStyle w:val="13"/>
        <w:snapToGrid w:val="0"/>
        <w:spacing w:line="360" w:lineRule="auto"/>
        <w:ind w:firstLine="426"/>
        <w:rPr>
          <w:rFonts w:hAnsi="宋体"/>
          <w:color w:val="auto"/>
          <w:sz w:val="24"/>
          <w:szCs w:val="24"/>
          <w:highlight w:val="none"/>
        </w:rPr>
      </w:pPr>
      <w:r>
        <w:rPr>
          <w:rFonts w:hAnsi="宋体"/>
          <w:color w:val="auto"/>
          <w:sz w:val="24"/>
          <w:szCs w:val="24"/>
          <w:highlight w:val="none"/>
        </w:rPr>
        <w:t>4.</w:t>
      </w:r>
      <w:r>
        <w:rPr>
          <w:rFonts w:hint="eastAsia" w:hAnsi="宋体"/>
          <w:color w:val="auto"/>
          <w:sz w:val="24"/>
          <w:szCs w:val="24"/>
          <w:highlight w:val="none"/>
        </w:rPr>
        <w:t xml:space="preserve"> 评标委员会</w:t>
      </w:r>
      <w:r>
        <w:rPr>
          <w:rFonts w:hAnsi="宋体"/>
          <w:color w:val="auto"/>
          <w:sz w:val="24"/>
          <w:szCs w:val="24"/>
          <w:highlight w:val="none"/>
        </w:rPr>
        <w:t>对各投标文件的符合性进行审查，确定是否对招标文件作出了实质性响应。</w:t>
      </w:r>
      <w:r>
        <w:rPr>
          <w:rFonts w:hAnsi="宋体"/>
          <w:bCs/>
          <w:color w:val="auto"/>
          <w:sz w:val="24"/>
          <w:szCs w:val="24"/>
          <w:highlight w:val="none"/>
        </w:rPr>
        <w:t>实质上没有响应招标文件要求的投标将被视为无效投标，不再进入下一阶段的评审。</w:t>
      </w:r>
    </w:p>
    <w:p w14:paraId="2E432ED4">
      <w:pPr>
        <w:pStyle w:val="13"/>
        <w:snapToGrid w:val="0"/>
        <w:spacing w:line="360" w:lineRule="auto"/>
        <w:ind w:firstLine="426"/>
        <w:rPr>
          <w:rFonts w:hAnsi="宋体"/>
          <w:color w:val="auto"/>
          <w:sz w:val="24"/>
          <w:szCs w:val="24"/>
          <w:highlight w:val="none"/>
        </w:rPr>
      </w:pPr>
      <w:r>
        <w:rPr>
          <w:rFonts w:hAnsi="宋体"/>
          <w:color w:val="auto"/>
          <w:sz w:val="24"/>
          <w:szCs w:val="24"/>
          <w:highlight w:val="none"/>
        </w:rPr>
        <w:t>5.</w:t>
      </w:r>
      <w:r>
        <w:rPr>
          <w:rFonts w:hint="eastAsia" w:hAnsi="宋体"/>
          <w:color w:val="auto"/>
          <w:sz w:val="24"/>
          <w:szCs w:val="24"/>
          <w:highlight w:val="none"/>
        </w:rPr>
        <w:t xml:space="preserve"> 评标委员会</w:t>
      </w:r>
      <w:r>
        <w:rPr>
          <w:rFonts w:hAnsi="宋体"/>
          <w:color w:val="auto"/>
          <w:sz w:val="24"/>
          <w:szCs w:val="24"/>
          <w:highlight w:val="none"/>
        </w:rPr>
        <w:t>按招标文件规定的评审方法和评审标准，依法独立对投标人投标文件进行评估、比较，并给予评价或打分，不受任何单位和个人的干预。</w:t>
      </w:r>
    </w:p>
    <w:p w14:paraId="613FB75C">
      <w:pPr>
        <w:snapToGrid w:val="0"/>
        <w:spacing w:line="360" w:lineRule="auto"/>
        <w:ind w:firstLine="426"/>
        <w:rPr>
          <w:rFonts w:ascii="宋体" w:hAnsi="宋体"/>
          <w:color w:val="auto"/>
          <w:sz w:val="24"/>
          <w:szCs w:val="24"/>
          <w:highlight w:val="none"/>
        </w:rPr>
      </w:pPr>
      <w:r>
        <w:rPr>
          <w:rFonts w:ascii="宋体" w:hAnsi="宋体"/>
          <w:color w:val="auto"/>
          <w:sz w:val="24"/>
          <w:szCs w:val="24"/>
          <w:highlight w:val="none"/>
        </w:rPr>
        <w:t>6.各投标人的得分为所有</w:t>
      </w:r>
      <w:r>
        <w:rPr>
          <w:rFonts w:hint="eastAsia" w:ascii="宋体" w:hAnsi="宋体"/>
          <w:color w:val="auto"/>
          <w:sz w:val="24"/>
          <w:szCs w:val="24"/>
          <w:highlight w:val="none"/>
        </w:rPr>
        <w:t>评标委员会</w:t>
      </w:r>
      <w:r>
        <w:rPr>
          <w:rFonts w:ascii="宋体" w:hAnsi="宋体"/>
          <w:color w:val="auto"/>
          <w:sz w:val="24"/>
          <w:szCs w:val="24"/>
          <w:highlight w:val="none"/>
        </w:rPr>
        <w:t>的有效评分的算术平均数，由指定专人进行计算复核。</w:t>
      </w:r>
    </w:p>
    <w:p w14:paraId="7A72EAAF">
      <w:pPr>
        <w:snapToGrid w:val="0"/>
        <w:spacing w:line="360" w:lineRule="auto"/>
        <w:ind w:firstLine="426"/>
        <w:rPr>
          <w:rFonts w:ascii="宋体" w:hAnsi="宋体"/>
          <w:color w:val="auto"/>
          <w:sz w:val="24"/>
          <w:szCs w:val="24"/>
          <w:highlight w:val="none"/>
        </w:rPr>
      </w:pPr>
      <w:r>
        <w:rPr>
          <w:rFonts w:ascii="宋体" w:hAnsi="宋体"/>
          <w:color w:val="auto"/>
          <w:sz w:val="24"/>
          <w:szCs w:val="24"/>
          <w:highlight w:val="none"/>
        </w:rPr>
        <w:t>7.评标委员会完成评标后，对各部分得分汇总，计算出本项目最终得分。评标委员会按评标原则推荐中标候选人，同时起草评标报告。</w:t>
      </w:r>
    </w:p>
    <w:p w14:paraId="51FB93BA">
      <w:pPr>
        <w:snapToGrid w:val="0"/>
        <w:spacing w:line="360" w:lineRule="auto"/>
        <w:ind w:firstLine="426"/>
        <w:rPr>
          <w:rFonts w:ascii="宋体" w:hAnsi="宋体"/>
          <w:color w:val="auto"/>
          <w:sz w:val="24"/>
          <w:szCs w:val="24"/>
          <w:highlight w:val="none"/>
        </w:rPr>
      </w:pPr>
      <w:r>
        <w:rPr>
          <w:rFonts w:ascii="宋体" w:hAnsi="宋体"/>
          <w:color w:val="auto"/>
          <w:sz w:val="24"/>
          <w:szCs w:val="24"/>
          <w:highlight w:val="none"/>
        </w:rPr>
        <w:t>8. 当否决投标后，剩余投标人少于</w:t>
      </w:r>
      <w:r>
        <w:rPr>
          <w:rFonts w:hint="eastAsia" w:ascii="宋体" w:hAnsi="宋体"/>
          <w:color w:val="auto"/>
          <w:sz w:val="24"/>
          <w:szCs w:val="24"/>
          <w:highlight w:val="none"/>
        </w:rPr>
        <w:t>3</w:t>
      </w:r>
      <w:r>
        <w:rPr>
          <w:rFonts w:ascii="宋体" w:hAnsi="宋体"/>
          <w:color w:val="auto"/>
          <w:sz w:val="24"/>
          <w:szCs w:val="24"/>
          <w:highlight w:val="none"/>
        </w:rPr>
        <w:t>个时，</w:t>
      </w:r>
      <w:r>
        <w:rPr>
          <w:rFonts w:hint="eastAsia" w:ascii="宋体" w:hAnsi="宋体"/>
          <w:color w:val="auto"/>
          <w:sz w:val="24"/>
          <w:szCs w:val="24"/>
          <w:highlight w:val="none"/>
        </w:rPr>
        <w:t>将重新招标。</w:t>
      </w:r>
    </w:p>
    <w:p w14:paraId="4BC3ACCF">
      <w:pPr>
        <w:snapToGrid w:val="0"/>
        <w:spacing w:line="360" w:lineRule="auto"/>
        <w:rPr>
          <w:rFonts w:ascii="宋体" w:hAnsi="宋体"/>
          <w:b/>
          <w:color w:val="auto"/>
          <w:sz w:val="24"/>
          <w:szCs w:val="24"/>
          <w:highlight w:val="none"/>
        </w:rPr>
      </w:pPr>
      <w:r>
        <w:rPr>
          <w:rFonts w:hint="eastAsia" w:ascii="宋体" w:hAnsi="宋体"/>
          <w:b/>
          <w:color w:val="auto"/>
          <w:sz w:val="24"/>
          <w:szCs w:val="24"/>
          <w:highlight w:val="none"/>
        </w:rPr>
        <w:t xml:space="preserve">6.3 </w:t>
      </w:r>
      <w:r>
        <w:rPr>
          <w:rFonts w:ascii="宋体" w:hAnsi="宋体"/>
          <w:b/>
          <w:color w:val="auto"/>
          <w:sz w:val="24"/>
          <w:szCs w:val="24"/>
          <w:highlight w:val="none"/>
        </w:rPr>
        <w:t>澄清问题的形式</w:t>
      </w:r>
    </w:p>
    <w:p w14:paraId="4AFA0363">
      <w:pPr>
        <w:snapToGrid w:val="0"/>
        <w:spacing w:line="360" w:lineRule="auto"/>
        <w:ind w:firstLine="426"/>
        <w:rPr>
          <w:rFonts w:hint="eastAsia" w:ascii="宋体" w:hAnsi="宋体"/>
          <w:color w:val="auto"/>
          <w:sz w:val="24"/>
          <w:szCs w:val="24"/>
          <w:highlight w:val="none"/>
        </w:rPr>
      </w:pPr>
      <w:r>
        <w:rPr>
          <w:rFonts w:hint="eastAsia" w:ascii="宋体" w:hAnsi="宋体"/>
          <w:color w:val="auto"/>
          <w:sz w:val="24"/>
          <w:szCs w:val="24"/>
          <w:highlight w:val="none"/>
        </w:rPr>
        <w:t xml:space="preserve">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  </w:t>
      </w:r>
    </w:p>
    <w:p w14:paraId="2BD41017">
      <w:pPr>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评标委员会发出澄清内容后，投标人应当在</w:t>
      </w:r>
      <w:r>
        <w:rPr>
          <w:rFonts w:hint="eastAsia" w:ascii="宋体" w:hAnsi="宋体"/>
          <w:color w:val="auto"/>
          <w:sz w:val="24"/>
          <w:szCs w:val="24"/>
          <w:highlight w:val="none"/>
          <w:u w:val="single"/>
        </w:rPr>
        <w:t>规定的时间内</w:t>
      </w:r>
      <w:r>
        <w:rPr>
          <w:rFonts w:hint="eastAsia" w:ascii="宋体" w:hAnsi="宋体"/>
          <w:color w:val="auto"/>
          <w:sz w:val="24"/>
          <w:szCs w:val="24"/>
          <w:highlight w:val="none"/>
        </w:rPr>
        <w:t>提交澄清说明或补正，否则视为投标人放弃答复，并自行承担因此而产生的不利后果。澄清、说明或者补正不得超出投标文件的范围或者改变投标文件的实质性内容。</w:t>
      </w:r>
    </w:p>
    <w:p w14:paraId="5461DCED">
      <w:pPr>
        <w:pStyle w:val="29"/>
        <w:snapToGrid w:val="0"/>
        <w:spacing w:before="0" w:after="0" w:line="360" w:lineRule="auto"/>
        <w:outlineLvl w:val="2"/>
        <w:rPr>
          <w:rStyle w:val="28"/>
          <w:rFonts w:ascii="宋体" w:cs="宋体"/>
          <w:color w:val="auto"/>
          <w:sz w:val="24"/>
          <w:szCs w:val="24"/>
          <w:highlight w:val="none"/>
        </w:rPr>
      </w:pPr>
      <w:r>
        <w:rPr>
          <w:rStyle w:val="28"/>
          <w:rFonts w:hint="eastAsia" w:ascii="宋体" w:cs="宋体"/>
          <w:color w:val="auto"/>
          <w:sz w:val="24"/>
          <w:szCs w:val="24"/>
          <w:highlight w:val="none"/>
        </w:rPr>
        <w:t>6.4错误修正</w:t>
      </w:r>
    </w:p>
    <w:p w14:paraId="736F6FC1">
      <w:pPr>
        <w:adjustRightInd w:val="0"/>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 xml:space="preserve">投标文件报价出现前后不一致的，按照下列规定修正： </w:t>
      </w:r>
    </w:p>
    <w:p w14:paraId="7D70C517">
      <w:pPr>
        <w:adjustRightInd w:val="0"/>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1.电子交易平台生成的开标记录表内容与投标文件中相应内容不一致的，非总价小数点或百分比有明显错位、金额单位明显错误的，以电子交易平台生成的开标记录表为准；因投标人填报失误导致出现总价小数点或百分比有明显错位、金额单位明显错误的，按评委认为的合理价格修正总价。</w:t>
      </w:r>
    </w:p>
    <w:p w14:paraId="7BA047A3">
      <w:pPr>
        <w:adjustRightInd w:val="0"/>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2.大写金额和小写金额不一致的，以大写金额为准；</w:t>
      </w:r>
    </w:p>
    <w:p w14:paraId="215709EE">
      <w:pPr>
        <w:adjustRightInd w:val="0"/>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3.单价金额小数点或者百分比有明显错位的，以电子交易平台生成的开标记录表的总价为准，并修改单价；</w:t>
      </w:r>
    </w:p>
    <w:p w14:paraId="691E170B">
      <w:pPr>
        <w:adjustRightInd w:val="0"/>
        <w:snapToGrid w:val="0"/>
        <w:spacing w:line="360" w:lineRule="auto"/>
        <w:ind w:firstLine="426"/>
        <w:rPr>
          <w:rFonts w:ascii="宋体" w:hAnsi="宋体"/>
          <w:color w:val="auto"/>
          <w:sz w:val="24"/>
          <w:szCs w:val="24"/>
          <w:highlight w:val="none"/>
        </w:rPr>
      </w:pPr>
      <w:r>
        <w:rPr>
          <w:rFonts w:hint="eastAsia" w:ascii="宋体" w:hAnsi="宋体"/>
          <w:color w:val="auto"/>
          <w:sz w:val="24"/>
          <w:szCs w:val="24"/>
          <w:highlight w:val="none"/>
        </w:rPr>
        <w:t>4.总价金额与按单价汇总金额不一致的，以单价金额计算结果为准。</w:t>
      </w:r>
    </w:p>
    <w:p w14:paraId="0D933CBA">
      <w:pPr>
        <w:adjustRightInd w:val="0"/>
        <w:snapToGrid w:val="0"/>
        <w:spacing w:line="360" w:lineRule="auto"/>
        <w:ind w:firstLine="426"/>
        <w:rPr>
          <w:rFonts w:hint="eastAsia" w:ascii="宋体" w:hAnsi="宋体"/>
          <w:color w:val="auto"/>
          <w:sz w:val="24"/>
          <w:highlight w:val="none"/>
        </w:rPr>
      </w:pPr>
      <w:r>
        <w:rPr>
          <w:rFonts w:hint="eastAsia" w:ascii="宋体" w:hAnsi="宋体"/>
          <w:color w:val="auto"/>
          <w:sz w:val="24"/>
          <w:szCs w:val="24"/>
          <w:highlight w:val="none"/>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2C104254">
      <w:pPr>
        <w:pStyle w:val="5"/>
        <w:spacing w:line="360" w:lineRule="auto"/>
        <w:rPr>
          <w:rFonts w:hint="eastAsia"/>
          <w:color w:val="auto"/>
          <w:highlight w:val="none"/>
        </w:rPr>
      </w:pPr>
      <w:bookmarkStart w:id="162" w:name="_Toc61616107"/>
      <w:bookmarkStart w:id="163" w:name="_Toc18404928"/>
      <w:bookmarkStart w:id="164" w:name="_Toc72846786"/>
      <w:r>
        <w:rPr>
          <w:rFonts w:hint="eastAsia"/>
          <w:color w:val="auto"/>
          <w:highlight w:val="none"/>
        </w:rPr>
        <w:t>7.合同授予</w:t>
      </w:r>
      <w:bookmarkEnd w:id="162"/>
      <w:bookmarkEnd w:id="163"/>
      <w:bookmarkEnd w:id="164"/>
    </w:p>
    <w:p w14:paraId="175A9B9A">
      <w:pPr>
        <w:adjustRightInd w:val="0"/>
        <w:snapToGrid w:val="0"/>
        <w:spacing w:line="360" w:lineRule="auto"/>
        <w:ind w:firstLine="426"/>
        <w:rPr>
          <w:rFonts w:hint="eastAsia" w:ascii="宋体" w:hAnsi="宋体" w:eastAsia="宋体" w:cs="Times New Roman"/>
          <w:b/>
          <w:bCs/>
          <w:color w:val="auto"/>
          <w:sz w:val="24"/>
          <w:szCs w:val="24"/>
          <w:highlight w:val="none"/>
          <w:lang w:eastAsia="zh-CN"/>
        </w:rPr>
      </w:pPr>
      <w:bookmarkStart w:id="165" w:name="_Toc61616108"/>
      <w:bookmarkStart w:id="166" w:name="_Toc72846787"/>
      <w:bookmarkStart w:id="167" w:name="_Toc320951761"/>
      <w:bookmarkStart w:id="168" w:name="_Toc322004577"/>
      <w:bookmarkStart w:id="169" w:name="_Toc306711812"/>
      <w:bookmarkStart w:id="170" w:name="_Toc290118925"/>
      <w:bookmarkStart w:id="171" w:name="_Toc18404929"/>
      <w:bookmarkStart w:id="172" w:name="_Toc322004722"/>
      <w:r>
        <w:rPr>
          <w:rFonts w:hint="eastAsia" w:ascii="宋体" w:hAnsi="宋体" w:eastAsia="宋体" w:cs="Times New Roman"/>
          <w:b/>
          <w:bCs/>
          <w:color w:val="auto"/>
          <w:sz w:val="24"/>
          <w:szCs w:val="24"/>
          <w:highlight w:val="none"/>
          <w:lang w:val="en-US" w:eastAsia="zh-CN"/>
        </w:rPr>
        <w:t>7.1评标方式</w:t>
      </w:r>
      <w:bookmarkEnd w:id="165"/>
      <w:bookmarkEnd w:id="166"/>
      <w:bookmarkEnd w:id="167"/>
      <w:bookmarkEnd w:id="168"/>
      <w:bookmarkEnd w:id="169"/>
      <w:bookmarkEnd w:id="170"/>
      <w:bookmarkEnd w:id="171"/>
      <w:bookmarkEnd w:id="172"/>
    </w:p>
    <w:p w14:paraId="03545E56">
      <w:pPr>
        <w:adjustRightInd w:val="0"/>
        <w:snapToGrid w:val="0"/>
        <w:spacing w:line="360" w:lineRule="auto"/>
        <w:ind w:firstLine="426"/>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评标办法采用综合评分法，技术评审</w:t>
      </w:r>
      <w:r>
        <w:rPr>
          <w:rFonts w:hint="eastAsia" w:ascii="宋体" w:hAnsi="宋体" w:cs="Times New Roman"/>
          <w:color w:val="auto"/>
          <w:sz w:val="24"/>
          <w:szCs w:val="24"/>
          <w:highlight w:val="none"/>
          <w:lang w:val="en-US" w:eastAsia="zh-CN"/>
        </w:rPr>
        <w:t>30</w:t>
      </w:r>
      <w:r>
        <w:rPr>
          <w:rFonts w:hint="eastAsia" w:ascii="宋体" w:hAnsi="宋体" w:eastAsia="宋体" w:cs="Times New Roman"/>
          <w:color w:val="auto"/>
          <w:sz w:val="24"/>
          <w:szCs w:val="24"/>
          <w:highlight w:val="none"/>
          <w:lang w:val="en-US" w:eastAsia="zh-CN"/>
        </w:rPr>
        <w:t>分，商务评分</w:t>
      </w:r>
      <w:r>
        <w:rPr>
          <w:rFonts w:hint="eastAsia" w:ascii="宋体" w:hAnsi="宋体" w:cs="Times New Roman"/>
          <w:color w:val="auto"/>
          <w:sz w:val="24"/>
          <w:szCs w:val="24"/>
          <w:highlight w:val="none"/>
          <w:lang w:val="en-US" w:eastAsia="zh-CN"/>
        </w:rPr>
        <w:t>70</w:t>
      </w:r>
      <w:r>
        <w:rPr>
          <w:rFonts w:hint="eastAsia" w:ascii="宋体" w:hAnsi="宋体" w:eastAsia="宋体" w:cs="Times New Roman"/>
          <w:color w:val="auto"/>
          <w:sz w:val="24"/>
          <w:szCs w:val="24"/>
          <w:highlight w:val="none"/>
          <w:lang w:val="en-US" w:eastAsia="zh-CN"/>
        </w:rPr>
        <w:t>分。按综合评分最高确定中标供应商1家</w:t>
      </w:r>
    </w:p>
    <w:p w14:paraId="677A49A8">
      <w:pPr>
        <w:pStyle w:val="6"/>
        <w:spacing w:line="360" w:lineRule="auto"/>
        <w:ind w:firstLine="482" w:firstLineChars="200"/>
        <w:rPr>
          <w:rFonts w:hint="eastAsia"/>
          <w:color w:val="auto"/>
          <w:szCs w:val="24"/>
          <w:highlight w:val="none"/>
        </w:rPr>
      </w:pPr>
      <w:bookmarkStart w:id="173" w:name="_Toc322004578"/>
      <w:bookmarkStart w:id="174" w:name="_Toc61616109"/>
      <w:bookmarkStart w:id="175" w:name="_Toc72846788"/>
      <w:bookmarkStart w:id="176" w:name="_Toc18404930"/>
      <w:bookmarkStart w:id="177" w:name="_Toc320951762"/>
      <w:bookmarkStart w:id="178" w:name="_Toc322004723"/>
      <w:bookmarkStart w:id="179" w:name="_Toc306711813"/>
      <w:bookmarkStart w:id="180" w:name="_Toc290118926"/>
      <w:r>
        <w:rPr>
          <w:rFonts w:hint="eastAsia"/>
          <w:color w:val="auto"/>
          <w:szCs w:val="24"/>
          <w:highlight w:val="none"/>
        </w:rPr>
        <w:t>7.2中标通知</w:t>
      </w:r>
      <w:bookmarkEnd w:id="173"/>
      <w:bookmarkEnd w:id="174"/>
      <w:bookmarkEnd w:id="175"/>
      <w:bookmarkEnd w:id="176"/>
      <w:bookmarkEnd w:id="177"/>
      <w:bookmarkEnd w:id="178"/>
      <w:bookmarkEnd w:id="179"/>
      <w:bookmarkEnd w:id="180"/>
    </w:p>
    <w:p w14:paraId="38907394">
      <w:pPr>
        <w:spacing w:line="360" w:lineRule="auto"/>
        <w:ind w:firstLine="480" w:firstLineChars="200"/>
        <w:rPr>
          <w:rFonts w:hint="eastAsia" w:ascii="宋体" w:hAnsi="宋体"/>
          <w:color w:val="auto"/>
          <w:sz w:val="24"/>
          <w:szCs w:val="24"/>
          <w:highlight w:val="none"/>
        </w:rPr>
      </w:pPr>
      <w:r>
        <w:rPr>
          <w:rFonts w:hint="eastAsia"/>
          <w:color w:val="auto"/>
          <w:sz w:val="24"/>
          <w:szCs w:val="24"/>
          <w:highlight w:val="none"/>
        </w:rPr>
        <w:t>7.2.1</w:t>
      </w:r>
      <w:r>
        <w:rPr>
          <w:rFonts w:hint="eastAsia" w:ascii="宋体" w:hAnsi="宋体"/>
          <w:color w:val="auto"/>
          <w:sz w:val="24"/>
          <w:szCs w:val="24"/>
          <w:highlight w:val="none"/>
        </w:rPr>
        <w:t>确定中标人后，在投标有效期截止前，招标人将以书面形式通知中标的投标人其投标被接受。</w:t>
      </w:r>
    </w:p>
    <w:p w14:paraId="70785570">
      <w:pPr>
        <w:spacing w:line="360" w:lineRule="auto"/>
        <w:ind w:firstLine="435"/>
        <w:jc w:val="left"/>
        <w:rPr>
          <w:rFonts w:hint="eastAsia" w:ascii="宋体" w:hAnsi="宋体"/>
          <w:color w:val="auto"/>
          <w:sz w:val="24"/>
          <w:szCs w:val="24"/>
          <w:highlight w:val="none"/>
        </w:rPr>
      </w:pPr>
      <w:r>
        <w:rPr>
          <w:rFonts w:hint="eastAsia"/>
          <w:color w:val="auto"/>
          <w:sz w:val="24"/>
          <w:szCs w:val="24"/>
          <w:highlight w:val="none"/>
        </w:rPr>
        <w:t>7.2.</w:t>
      </w:r>
      <w:r>
        <w:rPr>
          <w:rFonts w:hint="eastAsia"/>
          <w:color w:val="auto"/>
          <w:sz w:val="24"/>
          <w:szCs w:val="24"/>
          <w:highlight w:val="none"/>
          <w:lang w:val="en-US" w:eastAsia="zh-CN"/>
        </w:rPr>
        <w:t>2</w:t>
      </w:r>
      <w:r>
        <w:rPr>
          <w:color w:val="auto"/>
          <w:sz w:val="24"/>
          <w:szCs w:val="24"/>
          <w:highlight w:val="none"/>
        </w:rPr>
        <w:t>中标人在领取中标通知书时，向招标代理单位缴纳招标服务费。招</w:t>
      </w:r>
      <w:r>
        <w:rPr>
          <w:rFonts w:hint="eastAsia"/>
          <w:color w:val="auto"/>
          <w:sz w:val="24"/>
          <w:szCs w:val="24"/>
          <w:highlight w:val="none"/>
        </w:rPr>
        <w:t>标服务费按国家计委关于印发《招标代理服务收费管理暂行办法》的通知价格【2002】1980号文件规定</w:t>
      </w:r>
      <w:r>
        <w:rPr>
          <w:rFonts w:hint="eastAsia"/>
          <w:color w:val="auto"/>
          <w:sz w:val="24"/>
          <w:szCs w:val="24"/>
          <w:highlight w:val="none"/>
          <w:lang w:val="en-US" w:eastAsia="zh-CN"/>
        </w:rPr>
        <w:t>的</w:t>
      </w:r>
      <w:r>
        <w:rPr>
          <w:rFonts w:hint="eastAsia"/>
          <w:color w:val="auto"/>
          <w:sz w:val="24"/>
          <w:szCs w:val="24"/>
          <w:highlight w:val="none"/>
        </w:rPr>
        <w:t>50%</w:t>
      </w:r>
      <w:r>
        <w:rPr>
          <w:color w:val="auto"/>
          <w:sz w:val="24"/>
          <w:szCs w:val="24"/>
          <w:highlight w:val="none"/>
        </w:rPr>
        <w:t>计费</w:t>
      </w:r>
      <w:r>
        <w:rPr>
          <w:rFonts w:hint="eastAsia"/>
          <w:color w:val="auto"/>
          <w:sz w:val="24"/>
          <w:szCs w:val="24"/>
          <w:highlight w:val="none"/>
        </w:rPr>
        <w:t>。</w:t>
      </w:r>
      <w:r>
        <w:rPr>
          <w:color w:val="auto"/>
          <w:sz w:val="24"/>
          <w:szCs w:val="24"/>
          <w:highlight w:val="none"/>
        </w:rPr>
        <w:t>不足</w:t>
      </w:r>
      <w:r>
        <w:rPr>
          <w:rFonts w:hint="eastAsia"/>
          <w:color w:val="auto"/>
          <w:sz w:val="24"/>
          <w:szCs w:val="24"/>
          <w:highlight w:val="none"/>
        </w:rPr>
        <w:t>肆</w:t>
      </w:r>
      <w:r>
        <w:rPr>
          <w:color w:val="auto"/>
          <w:sz w:val="24"/>
          <w:szCs w:val="24"/>
          <w:highlight w:val="none"/>
        </w:rPr>
        <w:t>仟按</w:t>
      </w:r>
      <w:r>
        <w:rPr>
          <w:rFonts w:hint="eastAsia"/>
          <w:color w:val="auto"/>
          <w:sz w:val="24"/>
          <w:szCs w:val="24"/>
          <w:highlight w:val="none"/>
        </w:rPr>
        <w:t>肆</w:t>
      </w:r>
      <w:r>
        <w:rPr>
          <w:color w:val="auto"/>
          <w:sz w:val="24"/>
          <w:szCs w:val="24"/>
          <w:highlight w:val="none"/>
        </w:rPr>
        <w:t>仟计。不足</w:t>
      </w:r>
      <w:r>
        <w:rPr>
          <w:rFonts w:hint="eastAsia"/>
          <w:color w:val="auto"/>
          <w:sz w:val="24"/>
          <w:szCs w:val="24"/>
          <w:highlight w:val="none"/>
        </w:rPr>
        <w:t>肆</w:t>
      </w:r>
      <w:r>
        <w:rPr>
          <w:color w:val="auto"/>
          <w:sz w:val="24"/>
          <w:szCs w:val="24"/>
          <w:highlight w:val="none"/>
        </w:rPr>
        <w:t>仟按</w:t>
      </w:r>
      <w:r>
        <w:rPr>
          <w:rFonts w:hint="eastAsia"/>
          <w:color w:val="auto"/>
          <w:sz w:val="24"/>
          <w:szCs w:val="24"/>
          <w:highlight w:val="none"/>
        </w:rPr>
        <w:t>肆</w:t>
      </w:r>
      <w:r>
        <w:rPr>
          <w:color w:val="auto"/>
          <w:sz w:val="24"/>
          <w:szCs w:val="24"/>
          <w:highlight w:val="none"/>
        </w:rPr>
        <w:t>仟计。</w:t>
      </w:r>
      <w:r>
        <w:rPr>
          <w:rFonts w:hint="eastAsia" w:ascii="宋体"/>
          <w:color w:val="auto"/>
          <w:sz w:val="24"/>
          <w:szCs w:val="24"/>
          <w:highlight w:val="none"/>
        </w:rPr>
        <w:t>在报价表中不单列报价子项，由投标人自行在企业运营成本等或各单价中分摊。</w:t>
      </w:r>
    </w:p>
    <w:p w14:paraId="0BA952E5">
      <w:pPr>
        <w:pStyle w:val="6"/>
        <w:spacing w:line="360" w:lineRule="auto"/>
        <w:ind w:firstLine="482" w:firstLineChars="200"/>
        <w:rPr>
          <w:rFonts w:hint="eastAsia"/>
          <w:color w:val="auto"/>
          <w:szCs w:val="24"/>
          <w:highlight w:val="none"/>
        </w:rPr>
      </w:pPr>
      <w:bookmarkStart w:id="181" w:name="_Toc320951763"/>
      <w:bookmarkStart w:id="182" w:name="_Toc306711814"/>
      <w:bookmarkStart w:id="183" w:name="_Toc18404931"/>
      <w:bookmarkStart w:id="184" w:name="_Toc322004724"/>
      <w:bookmarkStart w:id="185" w:name="_Toc72846789"/>
      <w:bookmarkStart w:id="186" w:name="_Toc322004579"/>
      <w:bookmarkStart w:id="187" w:name="_Toc290118927"/>
      <w:bookmarkStart w:id="188" w:name="_Toc61616110"/>
      <w:r>
        <w:rPr>
          <w:rFonts w:hint="eastAsia"/>
          <w:color w:val="auto"/>
          <w:szCs w:val="24"/>
          <w:highlight w:val="none"/>
        </w:rPr>
        <w:t>7.3履约担保</w:t>
      </w:r>
      <w:bookmarkEnd w:id="181"/>
      <w:bookmarkEnd w:id="182"/>
      <w:bookmarkEnd w:id="183"/>
      <w:bookmarkEnd w:id="184"/>
      <w:bookmarkEnd w:id="185"/>
      <w:bookmarkEnd w:id="186"/>
      <w:bookmarkEnd w:id="187"/>
      <w:bookmarkEnd w:id="188"/>
    </w:p>
    <w:p w14:paraId="1F16823C">
      <w:pPr>
        <w:spacing w:line="360" w:lineRule="auto"/>
        <w:jc w:val="left"/>
        <w:rPr>
          <w:rFonts w:hint="eastAsia"/>
          <w:color w:val="auto"/>
          <w:sz w:val="24"/>
          <w:szCs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 xml:space="preserve"> 7.3.1在签订合同前，中标人应按投标人须知前附表规定的金额、担保形式和招标文件第四章“合同条款及格式”规定的履约担保格式向招标人提交履约担保。并应符合投标人须知前附表规定的金额、担保形式和招标文件第四章“合同条款及格式”规定的履约担保格式要求，同时招标人应提供对等的履约担保。</w:t>
      </w:r>
    </w:p>
    <w:p w14:paraId="1A1D495A">
      <w:pPr>
        <w:spacing w:line="360" w:lineRule="auto"/>
        <w:jc w:val="left"/>
        <w:rPr>
          <w:rFonts w:hint="eastAsia"/>
          <w:color w:val="auto"/>
          <w:sz w:val="24"/>
          <w:szCs w:val="24"/>
          <w:highlight w:val="none"/>
        </w:rPr>
      </w:pPr>
      <w:r>
        <w:rPr>
          <w:rFonts w:hint="eastAsia"/>
          <w:color w:val="auto"/>
          <w:sz w:val="24"/>
          <w:szCs w:val="24"/>
          <w:highlight w:val="none"/>
        </w:rPr>
        <w:t xml:space="preserve">    7.3.2中标人不能按本章第7.3.1项要求提交履约担保的，视为放弃中标，其投标保证金不予退还，给招标人造成的损失超过投标保证金数额的，中标人还应当对超过部分予以赔偿。</w:t>
      </w:r>
    </w:p>
    <w:p w14:paraId="10E3C059">
      <w:pPr>
        <w:pStyle w:val="6"/>
        <w:spacing w:line="360" w:lineRule="auto"/>
        <w:ind w:firstLine="482" w:firstLineChars="200"/>
        <w:rPr>
          <w:rFonts w:hint="eastAsia"/>
          <w:color w:val="auto"/>
          <w:szCs w:val="24"/>
          <w:highlight w:val="none"/>
        </w:rPr>
      </w:pPr>
      <w:bookmarkStart w:id="189" w:name="_Toc61616111"/>
      <w:bookmarkStart w:id="190" w:name="_Toc306711815"/>
      <w:bookmarkStart w:id="191" w:name="_Toc322004725"/>
      <w:bookmarkStart w:id="192" w:name="_Toc72846790"/>
      <w:bookmarkStart w:id="193" w:name="_Toc322004580"/>
      <w:bookmarkStart w:id="194" w:name="_Toc18404932"/>
      <w:bookmarkStart w:id="195" w:name="_Toc290118928"/>
      <w:bookmarkStart w:id="196" w:name="_Toc320951764"/>
      <w:r>
        <w:rPr>
          <w:rFonts w:hint="eastAsia"/>
          <w:color w:val="auto"/>
          <w:szCs w:val="24"/>
          <w:highlight w:val="none"/>
        </w:rPr>
        <w:t>7.4签订合同</w:t>
      </w:r>
      <w:bookmarkEnd w:id="189"/>
      <w:bookmarkEnd w:id="190"/>
      <w:bookmarkEnd w:id="191"/>
      <w:bookmarkEnd w:id="192"/>
      <w:bookmarkEnd w:id="193"/>
      <w:bookmarkEnd w:id="194"/>
      <w:bookmarkEnd w:id="195"/>
      <w:bookmarkEnd w:id="196"/>
    </w:p>
    <w:p w14:paraId="1EC1CFEA">
      <w:pPr>
        <w:spacing w:line="360" w:lineRule="auto"/>
        <w:jc w:val="left"/>
        <w:rPr>
          <w:rFonts w:hint="eastAsia"/>
          <w:color w:val="auto"/>
          <w:sz w:val="24"/>
          <w:szCs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7.4.1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2CE28FE2">
      <w:pPr>
        <w:spacing w:line="360" w:lineRule="auto"/>
        <w:jc w:val="left"/>
        <w:rPr>
          <w:rFonts w:hint="eastAsia"/>
          <w:color w:val="auto"/>
          <w:sz w:val="24"/>
          <w:szCs w:val="24"/>
          <w:highlight w:val="none"/>
        </w:rPr>
      </w:pPr>
      <w:r>
        <w:rPr>
          <w:rFonts w:hint="eastAsia"/>
          <w:color w:val="auto"/>
          <w:sz w:val="24"/>
          <w:szCs w:val="24"/>
          <w:highlight w:val="none"/>
        </w:rPr>
        <w:t xml:space="preserve">    7.4.2发出中标通知书后，招标人无正当理由拒签合同的，招标人向中标人退还投标保证金；给中标人造成损失的，还应当赔偿损失。</w:t>
      </w:r>
    </w:p>
    <w:p w14:paraId="3E4E555C">
      <w:pPr>
        <w:pStyle w:val="5"/>
        <w:spacing w:line="360" w:lineRule="auto"/>
        <w:rPr>
          <w:rFonts w:hint="eastAsia"/>
          <w:color w:val="auto"/>
          <w:highlight w:val="none"/>
        </w:rPr>
      </w:pPr>
      <w:bookmarkStart w:id="197" w:name="_Toc18404933"/>
      <w:bookmarkStart w:id="198" w:name="_Toc72846791"/>
      <w:bookmarkStart w:id="199" w:name="_Toc61616112"/>
      <w:r>
        <w:rPr>
          <w:rFonts w:hint="eastAsia"/>
          <w:color w:val="auto"/>
          <w:highlight w:val="none"/>
        </w:rPr>
        <w:t>8.重新招标和不再招标</w:t>
      </w:r>
      <w:bookmarkEnd w:id="197"/>
      <w:bookmarkEnd w:id="198"/>
      <w:bookmarkEnd w:id="199"/>
    </w:p>
    <w:p w14:paraId="62FBE35A">
      <w:pPr>
        <w:pStyle w:val="6"/>
        <w:spacing w:line="360" w:lineRule="auto"/>
        <w:rPr>
          <w:rFonts w:hint="eastAsia"/>
          <w:color w:val="auto"/>
          <w:szCs w:val="24"/>
          <w:highlight w:val="none"/>
        </w:rPr>
      </w:pPr>
      <w:bookmarkStart w:id="200" w:name="_Toc322004582"/>
      <w:bookmarkStart w:id="201" w:name="_Toc72846792"/>
      <w:bookmarkStart w:id="202" w:name="_Toc61616113"/>
      <w:bookmarkStart w:id="203" w:name="_Toc18404934"/>
      <w:bookmarkStart w:id="204" w:name="_Toc320951766"/>
      <w:bookmarkStart w:id="205" w:name="_Toc290118930"/>
      <w:bookmarkStart w:id="206" w:name="_Toc306711817"/>
      <w:bookmarkStart w:id="207" w:name="_Toc322004727"/>
      <w:r>
        <w:rPr>
          <w:rFonts w:hint="eastAsia"/>
          <w:color w:val="auto"/>
          <w:szCs w:val="24"/>
          <w:highlight w:val="none"/>
        </w:rPr>
        <w:t>8.1重新招标</w:t>
      </w:r>
      <w:bookmarkEnd w:id="200"/>
      <w:bookmarkEnd w:id="201"/>
      <w:bookmarkEnd w:id="202"/>
      <w:bookmarkEnd w:id="203"/>
      <w:bookmarkEnd w:id="204"/>
      <w:bookmarkEnd w:id="205"/>
      <w:bookmarkEnd w:id="206"/>
      <w:bookmarkEnd w:id="207"/>
    </w:p>
    <w:p w14:paraId="72BF1EE1">
      <w:pPr>
        <w:spacing w:line="360" w:lineRule="auto"/>
        <w:jc w:val="left"/>
        <w:rPr>
          <w:rFonts w:hint="eastAsia"/>
          <w:color w:val="auto"/>
          <w:sz w:val="24"/>
          <w:szCs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有下列情形之一的，招标人将重新招标：</w:t>
      </w:r>
    </w:p>
    <w:p w14:paraId="1B743842">
      <w:pPr>
        <w:spacing w:line="360" w:lineRule="auto"/>
        <w:jc w:val="left"/>
        <w:rPr>
          <w:rFonts w:hint="eastAsia"/>
          <w:color w:val="auto"/>
          <w:sz w:val="24"/>
          <w:szCs w:val="24"/>
          <w:highlight w:val="none"/>
        </w:rPr>
      </w:pPr>
      <w:r>
        <w:rPr>
          <w:rFonts w:hint="eastAsia"/>
          <w:color w:val="auto"/>
          <w:sz w:val="24"/>
          <w:szCs w:val="24"/>
          <w:highlight w:val="none"/>
        </w:rPr>
        <w:t xml:space="preserve">    （1）投标截止时间止，投标人少于3个的；</w:t>
      </w:r>
    </w:p>
    <w:p w14:paraId="1688E053">
      <w:pPr>
        <w:spacing w:line="360" w:lineRule="auto"/>
        <w:jc w:val="left"/>
        <w:rPr>
          <w:rFonts w:hint="eastAsia"/>
          <w:color w:val="auto"/>
          <w:sz w:val="24"/>
          <w:szCs w:val="24"/>
          <w:highlight w:val="none"/>
        </w:rPr>
      </w:pPr>
      <w:r>
        <w:rPr>
          <w:rFonts w:hint="eastAsia"/>
          <w:color w:val="auto"/>
          <w:sz w:val="24"/>
          <w:szCs w:val="24"/>
          <w:highlight w:val="none"/>
        </w:rPr>
        <w:t xml:space="preserve">    （2）经评标委员会评审后否决所有投标的。</w:t>
      </w:r>
    </w:p>
    <w:p w14:paraId="3EC41D34">
      <w:pPr>
        <w:pStyle w:val="6"/>
        <w:spacing w:line="360" w:lineRule="auto"/>
        <w:rPr>
          <w:rFonts w:hint="eastAsia"/>
          <w:color w:val="auto"/>
          <w:szCs w:val="24"/>
          <w:highlight w:val="none"/>
        </w:rPr>
      </w:pPr>
      <w:bookmarkStart w:id="208" w:name="_Toc306711818"/>
      <w:bookmarkStart w:id="209" w:name="_Toc18404935"/>
      <w:bookmarkStart w:id="210" w:name="_Toc322004728"/>
      <w:bookmarkStart w:id="211" w:name="_Toc290118931"/>
      <w:bookmarkStart w:id="212" w:name="_Toc61616114"/>
      <w:bookmarkStart w:id="213" w:name="_Toc320951767"/>
      <w:bookmarkStart w:id="214" w:name="_Toc322004583"/>
      <w:bookmarkStart w:id="215" w:name="_Toc72846793"/>
      <w:r>
        <w:rPr>
          <w:rFonts w:hint="eastAsia"/>
          <w:color w:val="auto"/>
          <w:szCs w:val="24"/>
          <w:highlight w:val="none"/>
        </w:rPr>
        <w:t>8.2不再招标</w:t>
      </w:r>
      <w:bookmarkEnd w:id="208"/>
      <w:bookmarkEnd w:id="209"/>
      <w:bookmarkEnd w:id="210"/>
      <w:bookmarkEnd w:id="211"/>
      <w:bookmarkEnd w:id="212"/>
      <w:bookmarkEnd w:id="213"/>
      <w:bookmarkEnd w:id="214"/>
      <w:bookmarkEnd w:id="215"/>
    </w:p>
    <w:p w14:paraId="79C8DC94">
      <w:pPr>
        <w:spacing w:line="360" w:lineRule="auto"/>
        <w:jc w:val="lef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重新招标后投标人仍少于3个或者所有投标被否决的，属于必须审批或核准的工程建设项目，经原审批或核准部门批准后不再进行招标。</w:t>
      </w:r>
    </w:p>
    <w:p w14:paraId="1AA1F830">
      <w:pPr>
        <w:pStyle w:val="5"/>
        <w:spacing w:line="360" w:lineRule="auto"/>
        <w:rPr>
          <w:rFonts w:hint="eastAsia"/>
          <w:color w:val="auto"/>
          <w:sz w:val="24"/>
          <w:szCs w:val="24"/>
          <w:highlight w:val="none"/>
        </w:rPr>
      </w:pPr>
      <w:bookmarkStart w:id="216" w:name="_Toc18404936"/>
      <w:bookmarkStart w:id="217" w:name="_Toc61616115"/>
      <w:bookmarkStart w:id="218" w:name="_Toc72846794"/>
      <w:r>
        <w:rPr>
          <w:rFonts w:hint="eastAsia"/>
          <w:color w:val="auto"/>
          <w:sz w:val="24"/>
          <w:szCs w:val="24"/>
          <w:highlight w:val="none"/>
        </w:rPr>
        <w:t>9.纪律和监督</w:t>
      </w:r>
      <w:bookmarkEnd w:id="216"/>
      <w:bookmarkEnd w:id="217"/>
      <w:bookmarkEnd w:id="218"/>
    </w:p>
    <w:p w14:paraId="27A0A340">
      <w:pPr>
        <w:pStyle w:val="6"/>
        <w:spacing w:line="360" w:lineRule="auto"/>
        <w:rPr>
          <w:rFonts w:hint="eastAsia"/>
          <w:color w:val="auto"/>
          <w:szCs w:val="24"/>
          <w:highlight w:val="none"/>
        </w:rPr>
      </w:pPr>
      <w:bookmarkStart w:id="219" w:name="_Toc72846795"/>
      <w:bookmarkStart w:id="220" w:name="_Toc306711820"/>
      <w:bookmarkStart w:id="221" w:name="_Toc322004730"/>
      <w:bookmarkStart w:id="222" w:name="_Toc18404937"/>
      <w:bookmarkStart w:id="223" w:name="_Toc290118933"/>
      <w:bookmarkStart w:id="224" w:name="_Toc320951769"/>
      <w:bookmarkStart w:id="225" w:name="_Toc61616116"/>
      <w:bookmarkStart w:id="226" w:name="_Toc322004585"/>
      <w:r>
        <w:rPr>
          <w:rFonts w:hint="eastAsia"/>
          <w:color w:val="auto"/>
          <w:szCs w:val="24"/>
          <w:highlight w:val="none"/>
        </w:rPr>
        <w:t>9.1对招标人的纪律要求</w:t>
      </w:r>
      <w:bookmarkEnd w:id="219"/>
      <w:bookmarkEnd w:id="220"/>
      <w:bookmarkEnd w:id="221"/>
      <w:bookmarkEnd w:id="222"/>
      <w:bookmarkEnd w:id="223"/>
      <w:bookmarkEnd w:id="224"/>
      <w:bookmarkEnd w:id="225"/>
      <w:bookmarkEnd w:id="226"/>
    </w:p>
    <w:p w14:paraId="786C0908">
      <w:pPr>
        <w:spacing w:line="360" w:lineRule="auto"/>
        <w:jc w:val="lef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color w:val="auto"/>
          <w:sz w:val="24"/>
          <w:szCs w:val="24"/>
          <w:highlight w:val="none"/>
        </w:rPr>
        <w:t>招标人</w:t>
      </w:r>
      <w:r>
        <w:rPr>
          <w:rFonts w:hint="eastAsia"/>
          <w:color w:val="auto"/>
          <w:sz w:val="24"/>
          <w:szCs w:val="24"/>
          <w:highlight w:val="none"/>
          <w:lang w:eastAsia="zh-CN"/>
        </w:rPr>
        <w:t>不得泄露</w:t>
      </w:r>
      <w:r>
        <w:rPr>
          <w:rFonts w:hint="eastAsia"/>
          <w:color w:val="auto"/>
          <w:sz w:val="24"/>
          <w:szCs w:val="24"/>
          <w:highlight w:val="none"/>
        </w:rPr>
        <w:t>招标投标活动中应当保密的情况和资料，不得与投标人串通损害国家利益、社会公共利益或者他人合法权益。</w:t>
      </w:r>
    </w:p>
    <w:p w14:paraId="7C3A1277">
      <w:pPr>
        <w:pStyle w:val="6"/>
        <w:spacing w:line="360" w:lineRule="auto"/>
        <w:rPr>
          <w:rFonts w:hint="eastAsia"/>
          <w:color w:val="auto"/>
          <w:highlight w:val="none"/>
        </w:rPr>
      </w:pPr>
      <w:bookmarkStart w:id="227" w:name="_Toc61616117"/>
      <w:bookmarkStart w:id="228" w:name="_Toc320951770"/>
      <w:bookmarkStart w:id="229" w:name="_Toc72846796"/>
      <w:bookmarkStart w:id="230" w:name="_Toc18404938"/>
      <w:bookmarkStart w:id="231" w:name="_Toc290118934"/>
      <w:bookmarkStart w:id="232" w:name="_Toc306711821"/>
      <w:bookmarkStart w:id="233" w:name="_Toc322004586"/>
      <w:bookmarkStart w:id="234" w:name="_Toc322004731"/>
      <w:r>
        <w:rPr>
          <w:rFonts w:hint="eastAsia"/>
          <w:color w:val="auto"/>
          <w:highlight w:val="none"/>
        </w:rPr>
        <w:t>9.2对投标人的纪律要求</w:t>
      </w:r>
      <w:bookmarkEnd w:id="227"/>
      <w:bookmarkEnd w:id="228"/>
      <w:bookmarkEnd w:id="229"/>
      <w:bookmarkEnd w:id="230"/>
      <w:bookmarkEnd w:id="231"/>
      <w:bookmarkEnd w:id="232"/>
      <w:bookmarkEnd w:id="233"/>
      <w:bookmarkEnd w:id="234"/>
    </w:p>
    <w:p w14:paraId="3D172EB3">
      <w:pPr>
        <w:spacing w:line="360" w:lineRule="auto"/>
        <w:jc w:val="left"/>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Times New Roman" w:hAnsi="Times New Roman" w:eastAsia="宋体" w:cs="Times New Roman"/>
          <w:color w:val="auto"/>
          <w:sz w:val="24"/>
          <w:szCs w:val="24"/>
          <w:highlight w:val="none"/>
        </w:rPr>
        <w:t xml:space="preserve">   投标人不得相互串通投标或者与招标人串通投标，不得向招标人或者评标委员会成员行贿谋取中标，不得以他人名义投标或者以其他方式弄虚作假骗取中标；投标人不得以任何方式干扰、影响评标工作。</w:t>
      </w:r>
    </w:p>
    <w:p w14:paraId="5B9BED44">
      <w:pPr>
        <w:pStyle w:val="6"/>
        <w:spacing w:line="360" w:lineRule="auto"/>
        <w:rPr>
          <w:rFonts w:hint="eastAsia"/>
          <w:color w:val="auto"/>
          <w:highlight w:val="none"/>
        </w:rPr>
      </w:pPr>
      <w:bookmarkStart w:id="235" w:name="_Toc61616118"/>
      <w:bookmarkStart w:id="236" w:name="_Toc306711822"/>
      <w:bookmarkStart w:id="237" w:name="_Toc290118935"/>
      <w:bookmarkStart w:id="238" w:name="_Toc320951771"/>
      <w:bookmarkStart w:id="239" w:name="_Toc322004732"/>
      <w:bookmarkStart w:id="240" w:name="_Toc72846797"/>
      <w:bookmarkStart w:id="241" w:name="_Toc322004587"/>
      <w:bookmarkStart w:id="242" w:name="_Toc18404939"/>
      <w:r>
        <w:rPr>
          <w:rFonts w:hint="eastAsia"/>
          <w:color w:val="auto"/>
          <w:highlight w:val="none"/>
        </w:rPr>
        <w:t>9.3对评标委员会成员的纪律要求</w:t>
      </w:r>
      <w:bookmarkEnd w:id="235"/>
      <w:bookmarkEnd w:id="236"/>
      <w:bookmarkEnd w:id="237"/>
      <w:bookmarkEnd w:id="238"/>
      <w:bookmarkEnd w:id="239"/>
      <w:bookmarkEnd w:id="240"/>
      <w:bookmarkEnd w:id="241"/>
      <w:bookmarkEnd w:id="242"/>
    </w:p>
    <w:p w14:paraId="6B75D801">
      <w:pPr>
        <w:spacing w:line="360" w:lineRule="auto"/>
        <w:jc w:val="left"/>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Times New Roman" w:hAnsi="Times New Roman" w:eastAsia="宋体" w:cs="Times New Roman"/>
          <w:color w:val="auto"/>
          <w:sz w:val="24"/>
          <w:szCs w:val="24"/>
          <w:highlight w:val="none"/>
        </w:rPr>
        <w:t xml:space="preserve"> 评标委员会成员不得收受他人的财物或者其他好处，不得向他人</w:t>
      </w:r>
      <w:r>
        <w:rPr>
          <w:rFonts w:hint="eastAsia" w:ascii="Times New Roman" w:hAnsi="Times New Roman" w:cs="Times New Roman"/>
          <w:color w:val="auto"/>
          <w:sz w:val="24"/>
          <w:szCs w:val="24"/>
          <w:highlight w:val="none"/>
          <w:lang w:eastAsia="zh-CN"/>
        </w:rPr>
        <w:t>透露</w:t>
      </w:r>
      <w:r>
        <w:rPr>
          <w:rFonts w:hint="eastAsia" w:ascii="Times New Roman" w:hAnsi="Times New Roman" w:eastAsia="宋体" w:cs="Times New Roman"/>
          <w:color w:val="auto"/>
          <w:sz w:val="24"/>
          <w:szCs w:val="24"/>
          <w:highlight w:val="none"/>
        </w:rPr>
        <w:t>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27859CB4">
      <w:pPr>
        <w:pStyle w:val="6"/>
        <w:spacing w:line="360" w:lineRule="auto"/>
        <w:rPr>
          <w:rFonts w:hint="eastAsia"/>
          <w:color w:val="auto"/>
          <w:highlight w:val="none"/>
        </w:rPr>
      </w:pPr>
      <w:bookmarkStart w:id="243" w:name="_Toc72846798"/>
      <w:bookmarkStart w:id="244" w:name="_Toc18404940"/>
      <w:bookmarkStart w:id="245" w:name="_Toc290118936"/>
      <w:bookmarkStart w:id="246" w:name="_Toc320951772"/>
      <w:bookmarkStart w:id="247" w:name="_Toc322004588"/>
      <w:bookmarkStart w:id="248" w:name="_Toc322004733"/>
      <w:bookmarkStart w:id="249" w:name="_Toc306711823"/>
      <w:bookmarkStart w:id="250" w:name="_Toc61616119"/>
      <w:r>
        <w:rPr>
          <w:rFonts w:hint="eastAsia"/>
          <w:color w:val="auto"/>
          <w:highlight w:val="none"/>
        </w:rPr>
        <w:t>9.4对与评标活动有关的工作人员的纪律要求</w:t>
      </w:r>
      <w:bookmarkEnd w:id="243"/>
      <w:bookmarkEnd w:id="244"/>
      <w:bookmarkEnd w:id="245"/>
      <w:bookmarkEnd w:id="246"/>
      <w:bookmarkEnd w:id="247"/>
      <w:bookmarkEnd w:id="248"/>
      <w:bookmarkEnd w:id="249"/>
      <w:bookmarkEnd w:id="250"/>
    </w:p>
    <w:p w14:paraId="026F2088">
      <w:pPr>
        <w:spacing w:line="360" w:lineRule="auto"/>
        <w:jc w:val="left"/>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Times New Roman" w:hAnsi="Times New Roman" w:eastAsia="宋体" w:cs="Times New Roman"/>
          <w:color w:val="auto"/>
          <w:sz w:val="24"/>
          <w:szCs w:val="24"/>
          <w:highlight w:val="none"/>
        </w:rPr>
        <w:t xml:space="preserve">   与评标活动有关的工作人员不得收受他人的财物或者其他好处，不得向他人</w:t>
      </w:r>
      <w:r>
        <w:rPr>
          <w:rFonts w:hint="eastAsia" w:ascii="Times New Roman" w:hAnsi="Times New Roman" w:cs="Times New Roman"/>
          <w:color w:val="auto"/>
          <w:sz w:val="24"/>
          <w:szCs w:val="24"/>
          <w:highlight w:val="none"/>
          <w:lang w:eastAsia="zh-CN"/>
        </w:rPr>
        <w:t>透露</w:t>
      </w:r>
      <w:r>
        <w:rPr>
          <w:rFonts w:hint="eastAsia" w:ascii="Times New Roman" w:hAnsi="Times New Roman" w:eastAsia="宋体" w:cs="Times New Roman"/>
          <w:color w:val="auto"/>
          <w:sz w:val="24"/>
          <w:szCs w:val="24"/>
          <w:highlight w:val="none"/>
        </w:rPr>
        <w:t>对投标文件的评审和比较、中标候选人的推荐情况以及评标有关的其他情况。在评标活动中，与评标活动有关的工作人员不得擅离职守，影响评标程序正常进行。</w:t>
      </w:r>
    </w:p>
    <w:p w14:paraId="0F4DF1C3">
      <w:pPr>
        <w:pStyle w:val="6"/>
        <w:spacing w:line="360" w:lineRule="auto"/>
        <w:rPr>
          <w:rFonts w:hint="eastAsia"/>
          <w:color w:val="auto"/>
          <w:highlight w:val="none"/>
        </w:rPr>
      </w:pPr>
      <w:bookmarkStart w:id="251" w:name="_Toc306711824"/>
      <w:bookmarkStart w:id="252" w:name="_Toc290118937"/>
      <w:bookmarkStart w:id="253" w:name="_Toc320951773"/>
      <w:bookmarkStart w:id="254" w:name="_Toc61616120"/>
      <w:bookmarkStart w:id="255" w:name="_Toc322004734"/>
      <w:bookmarkStart w:id="256" w:name="_Toc322004589"/>
      <w:bookmarkStart w:id="257" w:name="_Toc72846799"/>
      <w:bookmarkStart w:id="258" w:name="_Toc18404941"/>
      <w:r>
        <w:rPr>
          <w:rFonts w:hint="eastAsia"/>
          <w:color w:val="auto"/>
          <w:highlight w:val="none"/>
        </w:rPr>
        <w:t>9.5投诉</w:t>
      </w:r>
      <w:bookmarkEnd w:id="251"/>
      <w:bookmarkEnd w:id="252"/>
      <w:bookmarkEnd w:id="253"/>
      <w:bookmarkEnd w:id="254"/>
      <w:bookmarkEnd w:id="255"/>
      <w:bookmarkEnd w:id="256"/>
      <w:bookmarkEnd w:id="257"/>
      <w:bookmarkEnd w:id="258"/>
    </w:p>
    <w:p w14:paraId="32E84252">
      <w:pPr>
        <w:spacing w:line="360" w:lineRule="auto"/>
        <w:jc w:val="left"/>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Times New Roman" w:hAnsi="Times New Roman" w:eastAsia="宋体" w:cs="Times New Roman"/>
          <w:color w:val="auto"/>
          <w:sz w:val="24"/>
          <w:szCs w:val="24"/>
          <w:highlight w:val="none"/>
        </w:rPr>
        <w:t xml:space="preserve">  投标人和其他利害关系人认为本次招标活动违反法律、法规和规章规定的，有权向有关行政监督部门投诉。</w:t>
      </w:r>
    </w:p>
    <w:p w14:paraId="15DF3828">
      <w:pPr>
        <w:pStyle w:val="5"/>
        <w:spacing w:line="360" w:lineRule="auto"/>
        <w:rPr>
          <w:rFonts w:hint="eastAsia"/>
          <w:color w:val="auto"/>
          <w:highlight w:val="none"/>
        </w:rPr>
      </w:pPr>
      <w:bookmarkStart w:id="259" w:name="_Toc72846800"/>
      <w:bookmarkStart w:id="260" w:name="_Toc18404942"/>
      <w:bookmarkStart w:id="261" w:name="_Toc61616121"/>
      <w:r>
        <w:rPr>
          <w:rFonts w:hint="eastAsia"/>
          <w:color w:val="auto"/>
          <w:highlight w:val="none"/>
        </w:rPr>
        <w:t>10. 需要补充的其他内容</w:t>
      </w:r>
      <w:bookmarkEnd w:id="259"/>
      <w:bookmarkEnd w:id="260"/>
      <w:bookmarkEnd w:id="261"/>
    </w:p>
    <w:p w14:paraId="3257CE1E">
      <w:pPr>
        <w:spacing w:line="360" w:lineRule="auto"/>
        <w:jc w:val="left"/>
        <w:rPr>
          <w:rFonts w:hint="eastAsia" w:ascii="宋体" w:hAnsi="宋体"/>
          <w:color w:val="auto"/>
          <w:sz w:val="24"/>
          <w:highlight w:val="none"/>
        </w:rPr>
      </w:pPr>
      <w:r>
        <w:rPr>
          <w:rFonts w:hint="eastAsia" w:ascii="宋体" w:hAnsi="宋体"/>
          <w:color w:val="auto"/>
          <w:sz w:val="24"/>
          <w:highlight w:val="none"/>
        </w:rPr>
        <w:t xml:space="preserve"> </w:t>
      </w:r>
      <w:r>
        <w:rPr>
          <w:rFonts w:hint="eastAsia" w:ascii="Times New Roman" w:hAnsi="Times New Roman" w:eastAsia="宋体" w:cs="Times New Roman"/>
          <w:color w:val="auto"/>
          <w:sz w:val="24"/>
          <w:szCs w:val="24"/>
          <w:highlight w:val="none"/>
        </w:rPr>
        <w:t xml:space="preserve">   需要补充的其他内容：见投标人须知前附表。</w:t>
      </w:r>
    </w:p>
    <w:p w14:paraId="7B5FEB3E">
      <w:pPr>
        <w:rPr>
          <w:rFonts w:hint="eastAsia"/>
          <w:color w:val="auto"/>
          <w:highlight w:val="none"/>
        </w:rPr>
      </w:pPr>
      <w:r>
        <w:rPr>
          <w:color w:val="auto"/>
          <w:highlight w:val="none"/>
        </w:rPr>
        <w:br w:type="page"/>
      </w:r>
    </w:p>
    <w:p w14:paraId="4FF4E691">
      <w:pPr>
        <w:pStyle w:val="4"/>
        <w:rPr>
          <w:rFonts w:hint="eastAsia" w:ascii="黑体" w:eastAsia="黑体"/>
          <w:b w:val="0"/>
          <w:bCs/>
          <w:color w:val="auto"/>
          <w:sz w:val="44"/>
          <w:szCs w:val="44"/>
          <w:highlight w:val="none"/>
        </w:rPr>
      </w:pPr>
      <w:bookmarkStart w:id="262" w:name="_Toc72846801"/>
      <w:r>
        <w:rPr>
          <w:rFonts w:hint="eastAsia" w:asciiTheme="majorEastAsia" w:hAnsiTheme="majorEastAsia" w:eastAsiaTheme="majorEastAsia" w:cstheme="majorEastAsia"/>
          <w:b w:val="0"/>
          <w:bCs/>
          <w:color w:val="auto"/>
          <w:sz w:val="44"/>
          <w:szCs w:val="44"/>
          <w:highlight w:val="none"/>
        </w:rPr>
        <w:t>第三章  评标办法</w:t>
      </w:r>
      <w:bookmarkEnd w:id="262"/>
    </w:p>
    <w:p w14:paraId="15C3EDE6">
      <w:pPr>
        <w:rPr>
          <w:rFonts w:hint="eastAsia"/>
          <w:color w:val="auto"/>
          <w:highlight w:val="none"/>
        </w:rPr>
      </w:pPr>
    </w:p>
    <w:p w14:paraId="400CAA73">
      <w:pPr>
        <w:adjustRightInd w:val="0"/>
        <w:snapToGrid w:val="0"/>
        <w:spacing w:line="360" w:lineRule="auto"/>
        <w:ind w:firstLine="420"/>
        <w:contextualSpacing/>
        <w:rPr>
          <w:rFonts w:ascii="宋体"/>
          <w:sz w:val="24"/>
          <w:highlight w:val="none"/>
        </w:rPr>
      </w:pPr>
      <w:bookmarkStart w:id="263" w:name="_Toc72846802"/>
      <w:r>
        <w:rPr>
          <w:rFonts w:hint="eastAsia" w:ascii="宋体"/>
          <w:sz w:val="24"/>
          <w:highlight w:val="none"/>
        </w:rPr>
        <w:t>为公正、公平、科学地选择中标人，根据有关法律法规的规定，并结合本项目的实际，制定本办法。</w:t>
      </w:r>
    </w:p>
    <w:p w14:paraId="0FE30D29">
      <w:pPr>
        <w:pStyle w:val="5"/>
        <w:spacing w:line="360" w:lineRule="auto"/>
        <w:rPr>
          <w:color w:val="auto"/>
          <w:sz w:val="24"/>
          <w:szCs w:val="24"/>
          <w:highlight w:val="none"/>
        </w:rPr>
      </w:pPr>
      <w:r>
        <w:rPr>
          <w:color w:val="auto"/>
          <w:sz w:val="24"/>
          <w:szCs w:val="24"/>
          <w:highlight w:val="none"/>
        </w:rPr>
        <w:t>1.评标机构</w:t>
      </w:r>
      <w:bookmarkEnd w:id="263"/>
    </w:p>
    <w:p w14:paraId="5765EA40">
      <w:pPr>
        <w:tabs>
          <w:tab w:val="left" w:pos="210"/>
        </w:tabs>
        <w:spacing w:line="360" w:lineRule="auto"/>
        <w:ind w:firstLine="480" w:firstLineChars="20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1.1评标工作由招标人依法组建的评标委员会（评标专家组）负责，评标委员会成员为5人。</w:t>
      </w:r>
    </w:p>
    <w:p w14:paraId="5C138D42">
      <w:pPr>
        <w:tabs>
          <w:tab w:val="left" w:pos="210"/>
        </w:tabs>
        <w:spacing w:line="360" w:lineRule="auto"/>
        <w:ind w:firstLine="480" w:firstLineChars="200"/>
        <w:rPr>
          <w:rFonts w:hint="eastAsia" w:ascii="Times New Roman" w:hAnsi="Times New Roman" w:eastAsia="宋体" w:cs="Times New Roman"/>
          <w:color w:val="auto"/>
          <w:sz w:val="24"/>
          <w:szCs w:val="24"/>
          <w:highlight w:val="none"/>
        </w:rPr>
      </w:pPr>
      <w:bookmarkStart w:id="264" w:name="_Toc72846803"/>
      <w:r>
        <w:rPr>
          <w:rFonts w:hint="eastAsia" w:ascii="Times New Roman" w:hAnsi="Times New Roman" w:eastAsia="宋体" w:cs="Times New Roman"/>
          <w:color w:val="auto"/>
          <w:sz w:val="24"/>
          <w:szCs w:val="24"/>
          <w:highlight w:val="none"/>
        </w:rPr>
        <w:t>评标委员会对投标文件作出的评审结论，应当符合有关法律、法规、规章和招标文件的规定。须统一作出评定结果时但评标委员会成员有争议且不能形成统一意见的，按少数服从多数的原则表决。</w:t>
      </w:r>
    </w:p>
    <w:p w14:paraId="4A865BCD">
      <w:pPr>
        <w:pStyle w:val="5"/>
        <w:spacing w:line="360" w:lineRule="auto"/>
        <w:rPr>
          <w:color w:val="auto"/>
          <w:sz w:val="24"/>
          <w:szCs w:val="24"/>
          <w:highlight w:val="none"/>
        </w:rPr>
      </w:pPr>
      <w:r>
        <w:rPr>
          <w:color w:val="auto"/>
          <w:sz w:val="24"/>
          <w:szCs w:val="24"/>
          <w:highlight w:val="none"/>
        </w:rPr>
        <w:t>2.评标纪律</w:t>
      </w:r>
      <w:bookmarkEnd w:id="264"/>
    </w:p>
    <w:p w14:paraId="7D16101B">
      <w:pPr>
        <w:tabs>
          <w:tab w:val="left" w:pos="210"/>
        </w:tabs>
        <w:spacing w:line="360" w:lineRule="auto"/>
        <w:ind w:firstLine="480" w:firstLineChars="200"/>
        <w:rPr>
          <w:color w:val="auto"/>
          <w:sz w:val="24"/>
          <w:szCs w:val="24"/>
          <w:highlight w:val="none"/>
        </w:rPr>
      </w:pPr>
      <w:r>
        <w:rPr>
          <w:color w:val="auto"/>
          <w:sz w:val="24"/>
          <w:szCs w:val="24"/>
          <w:highlight w:val="none"/>
        </w:rPr>
        <w:t>2.1评标委员会成员应严格遵守评标活动“客观、公正、科学、择优”的原则，严格自律，自觉接受有关部门的监督。</w:t>
      </w:r>
    </w:p>
    <w:p w14:paraId="4C506017">
      <w:pPr>
        <w:tabs>
          <w:tab w:val="left" w:pos="210"/>
        </w:tabs>
        <w:spacing w:line="360" w:lineRule="auto"/>
        <w:ind w:firstLine="480" w:firstLineChars="200"/>
        <w:rPr>
          <w:color w:val="auto"/>
          <w:sz w:val="24"/>
          <w:szCs w:val="24"/>
          <w:highlight w:val="none"/>
        </w:rPr>
      </w:pPr>
      <w:r>
        <w:rPr>
          <w:color w:val="auto"/>
          <w:sz w:val="24"/>
          <w:szCs w:val="24"/>
          <w:highlight w:val="none"/>
        </w:rPr>
        <w:t>2.2评标过程中，评标委员会成员不得擅离职守，影响评标程序正常进行。</w:t>
      </w:r>
    </w:p>
    <w:p w14:paraId="1A94A3FD">
      <w:pPr>
        <w:tabs>
          <w:tab w:val="left" w:pos="210"/>
        </w:tabs>
        <w:spacing w:line="360" w:lineRule="auto"/>
        <w:ind w:firstLine="480" w:firstLineChars="200"/>
        <w:rPr>
          <w:color w:val="auto"/>
          <w:sz w:val="24"/>
          <w:szCs w:val="24"/>
          <w:highlight w:val="none"/>
        </w:rPr>
      </w:pPr>
      <w:r>
        <w:rPr>
          <w:color w:val="auto"/>
          <w:sz w:val="24"/>
          <w:szCs w:val="24"/>
          <w:highlight w:val="none"/>
        </w:rPr>
        <w:t>2.3评标过程中，不允许任何人把投标文件及其汇总材料带出评标会场，完成评标后所有材料如数交还。</w:t>
      </w:r>
    </w:p>
    <w:p w14:paraId="3A399071">
      <w:pPr>
        <w:tabs>
          <w:tab w:val="left" w:pos="210"/>
        </w:tabs>
        <w:spacing w:line="360" w:lineRule="auto"/>
        <w:ind w:firstLine="480" w:firstLineChars="200"/>
        <w:rPr>
          <w:color w:val="auto"/>
          <w:sz w:val="24"/>
          <w:szCs w:val="24"/>
          <w:highlight w:val="none"/>
        </w:rPr>
      </w:pPr>
      <w:r>
        <w:rPr>
          <w:color w:val="auto"/>
          <w:sz w:val="24"/>
          <w:szCs w:val="24"/>
          <w:highlight w:val="none"/>
        </w:rPr>
        <w:t>2.4评标过程中，评标委员会的成员及工作人员以外的人员不得随意进入评标会场。</w:t>
      </w:r>
    </w:p>
    <w:p w14:paraId="2F2731E2">
      <w:pPr>
        <w:tabs>
          <w:tab w:val="left" w:pos="210"/>
        </w:tabs>
        <w:spacing w:line="360" w:lineRule="auto"/>
        <w:ind w:firstLine="480" w:firstLineChars="200"/>
        <w:rPr>
          <w:color w:val="auto"/>
          <w:sz w:val="24"/>
          <w:szCs w:val="24"/>
          <w:highlight w:val="none"/>
        </w:rPr>
      </w:pPr>
      <w:r>
        <w:rPr>
          <w:color w:val="auto"/>
          <w:sz w:val="24"/>
          <w:szCs w:val="24"/>
          <w:highlight w:val="none"/>
        </w:rPr>
        <w:t>2.5与会人员违反上述规定对评标造成不良影响的，后果由责任者承担。</w:t>
      </w:r>
    </w:p>
    <w:p w14:paraId="3696A1D0">
      <w:pPr>
        <w:pStyle w:val="5"/>
        <w:spacing w:line="360" w:lineRule="auto"/>
        <w:rPr>
          <w:color w:val="auto"/>
          <w:sz w:val="24"/>
          <w:szCs w:val="24"/>
          <w:highlight w:val="none"/>
        </w:rPr>
      </w:pPr>
      <w:bookmarkStart w:id="265" w:name="_Toc72846804"/>
      <w:r>
        <w:rPr>
          <w:color w:val="auto"/>
          <w:sz w:val="24"/>
          <w:szCs w:val="24"/>
          <w:highlight w:val="none"/>
        </w:rPr>
        <w:t>3.评标原则及程序</w:t>
      </w:r>
      <w:bookmarkEnd w:id="265"/>
    </w:p>
    <w:p w14:paraId="49A9564A">
      <w:pPr>
        <w:pStyle w:val="6"/>
        <w:spacing w:line="360" w:lineRule="auto"/>
        <w:rPr>
          <w:color w:val="auto"/>
          <w:szCs w:val="24"/>
          <w:highlight w:val="none"/>
        </w:rPr>
      </w:pPr>
      <w:bookmarkStart w:id="266" w:name="_Toc72846805"/>
      <w:r>
        <w:rPr>
          <w:color w:val="auto"/>
          <w:szCs w:val="24"/>
          <w:highlight w:val="none"/>
        </w:rPr>
        <w:t>3.1评标遵循的原则</w:t>
      </w:r>
      <w:bookmarkEnd w:id="266"/>
    </w:p>
    <w:p w14:paraId="5D54D80F">
      <w:pPr>
        <w:tabs>
          <w:tab w:val="left" w:pos="210"/>
        </w:tabs>
        <w:spacing w:line="360" w:lineRule="auto"/>
        <w:ind w:firstLine="480" w:firstLineChars="200"/>
        <w:rPr>
          <w:color w:val="auto"/>
          <w:sz w:val="24"/>
          <w:szCs w:val="24"/>
          <w:highlight w:val="none"/>
        </w:rPr>
      </w:pPr>
      <w:r>
        <w:rPr>
          <w:color w:val="auto"/>
          <w:sz w:val="24"/>
          <w:szCs w:val="24"/>
          <w:highlight w:val="none"/>
        </w:rPr>
        <w:t>遵循客观、公平、科学、择优的原则。</w:t>
      </w:r>
    </w:p>
    <w:p w14:paraId="02B0E526">
      <w:pPr>
        <w:pStyle w:val="6"/>
        <w:spacing w:line="360" w:lineRule="auto"/>
        <w:rPr>
          <w:color w:val="auto"/>
          <w:szCs w:val="24"/>
          <w:highlight w:val="none"/>
        </w:rPr>
      </w:pPr>
      <w:bookmarkStart w:id="267" w:name="_Toc72846806"/>
      <w:r>
        <w:rPr>
          <w:color w:val="auto"/>
          <w:szCs w:val="24"/>
          <w:highlight w:val="none"/>
        </w:rPr>
        <w:t>3.2评标程序</w:t>
      </w:r>
      <w:bookmarkEnd w:id="267"/>
    </w:p>
    <w:p w14:paraId="7AAA2660">
      <w:pPr>
        <w:tabs>
          <w:tab w:val="left" w:pos="210"/>
        </w:tabs>
        <w:spacing w:line="360" w:lineRule="auto"/>
        <w:ind w:firstLine="480" w:firstLineChars="200"/>
        <w:rPr>
          <w:rFonts w:hint="eastAsia" w:ascii="Times New Roman" w:hAnsi="Times New Roman" w:eastAsia="宋体" w:cs="Times New Roman"/>
          <w:color w:val="auto"/>
          <w:sz w:val="24"/>
          <w:szCs w:val="24"/>
          <w:highlight w:val="none"/>
        </w:rPr>
      </w:pPr>
      <w:bookmarkStart w:id="268" w:name="_Toc72846807"/>
      <w:r>
        <w:rPr>
          <w:rFonts w:hint="eastAsia" w:ascii="宋体"/>
          <w:color w:val="auto"/>
          <w:sz w:val="24"/>
          <w:szCs w:val="24"/>
          <w:highlight w:val="none"/>
        </w:rPr>
        <w:t>本次评标采用综合评分法，投标人评标综合得分=技术资信得分+商务经济得分，总分为100分。合格投标人的评标得分为各项目汇总得分，中标候选资格按评标得分由高到低顺序排列，得分相同的，按投标报价由低到高顺序排列；得分且投标报价相同的，按技术得分由高到低顺序排列。评分过程中采用四舍五入法，并保留小数2位。评标委员会推荐得分排列第1名的投标人为中标候选人。</w:t>
      </w:r>
    </w:p>
    <w:p w14:paraId="5267AF9A">
      <w:pPr>
        <w:pStyle w:val="5"/>
        <w:spacing w:line="360" w:lineRule="auto"/>
        <w:rPr>
          <w:color w:val="auto"/>
          <w:sz w:val="24"/>
          <w:szCs w:val="24"/>
          <w:highlight w:val="none"/>
        </w:rPr>
      </w:pPr>
      <w:r>
        <w:rPr>
          <w:color w:val="auto"/>
          <w:sz w:val="24"/>
          <w:szCs w:val="24"/>
          <w:highlight w:val="none"/>
        </w:rPr>
        <w:t>4.初步评审</w:t>
      </w:r>
      <w:bookmarkEnd w:id="268"/>
    </w:p>
    <w:p w14:paraId="7929F2B0">
      <w:pPr>
        <w:snapToGrid w:val="0"/>
        <w:spacing w:line="360" w:lineRule="auto"/>
        <w:ind w:left="426"/>
        <w:jc w:val="left"/>
        <w:outlineLvl w:val="1"/>
        <w:rPr>
          <w:rFonts w:hint="eastAsia" w:ascii="宋体" w:hAnsi="宋体"/>
          <w:b/>
          <w:color w:val="auto"/>
          <w:sz w:val="24"/>
          <w:szCs w:val="24"/>
          <w:highlight w:val="none"/>
        </w:rPr>
      </w:pPr>
      <w:bookmarkStart w:id="269" w:name="_Toc127277068"/>
      <w:bookmarkStart w:id="270" w:name="_Toc72846810"/>
      <w:r>
        <w:rPr>
          <w:rFonts w:hint="eastAsia" w:ascii="宋体" w:hAnsi="宋体"/>
          <w:b/>
          <w:color w:val="auto"/>
          <w:sz w:val="24"/>
          <w:szCs w:val="24"/>
          <w:highlight w:val="none"/>
        </w:rPr>
        <w:t>4.1资格审查</w:t>
      </w:r>
      <w:bookmarkEnd w:id="269"/>
    </w:p>
    <w:p w14:paraId="0A63CE39">
      <w:pPr>
        <w:snapToGrid w:val="0"/>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评标委员会对各投标人的资格进行审查，投标人资格条件不符合招标文件要求的投标无效，不再进入符合性审查。</w:t>
      </w:r>
    </w:p>
    <w:p w14:paraId="49F2AC06">
      <w:pPr>
        <w:snapToGrid w:val="0"/>
        <w:spacing w:line="360" w:lineRule="auto"/>
        <w:ind w:left="426"/>
        <w:jc w:val="left"/>
        <w:outlineLvl w:val="1"/>
        <w:rPr>
          <w:rFonts w:hint="eastAsia" w:ascii="宋体" w:hAnsi="宋体"/>
          <w:b/>
          <w:color w:val="auto"/>
          <w:sz w:val="24"/>
          <w:szCs w:val="24"/>
          <w:highlight w:val="none"/>
        </w:rPr>
      </w:pPr>
      <w:bookmarkStart w:id="271" w:name="_Toc127277069"/>
      <w:r>
        <w:rPr>
          <w:rFonts w:hint="eastAsia" w:ascii="宋体" w:hAnsi="宋体"/>
          <w:b/>
          <w:color w:val="auto"/>
          <w:sz w:val="24"/>
          <w:szCs w:val="24"/>
          <w:highlight w:val="none"/>
        </w:rPr>
        <w:t>4.2符合性审查</w:t>
      </w:r>
      <w:bookmarkEnd w:id="271"/>
    </w:p>
    <w:p w14:paraId="1F7E2A0B">
      <w:pPr>
        <w:snapToGrid w:val="0"/>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评标委员会对资格审查合格的投标文件进行符合性审查，确定是否对招标文件作出了实质性响应。符合性审查不合格的投标无效，不再</w:t>
      </w:r>
      <w:r>
        <w:rPr>
          <w:rFonts w:hint="eastAsia" w:ascii="宋体" w:hAnsi="宋体"/>
          <w:color w:val="auto"/>
          <w:sz w:val="24"/>
          <w:szCs w:val="24"/>
          <w:highlight w:val="none"/>
        </w:rPr>
        <w:t>进行技术资信评审。</w:t>
      </w:r>
      <w:r>
        <w:rPr>
          <w:rFonts w:hint="eastAsia" w:ascii="宋体" w:hAnsi="宋体"/>
          <w:bCs/>
          <w:color w:val="auto"/>
          <w:sz w:val="24"/>
          <w:szCs w:val="24"/>
          <w:highlight w:val="none"/>
        </w:rPr>
        <w:t>投标人不得通过修正或</w:t>
      </w:r>
      <w:r>
        <w:rPr>
          <w:rFonts w:hint="eastAsia" w:ascii="宋体" w:hAnsi="宋体"/>
          <w:bCs/>
          <w:color w:val="auto"/>
          <w:sz w:val="24"/>
          <w:szCs w:val="24"/>
          <w:highlight w:val="none"/>
          <w:lang w:eastAsia="zh-CN"/>
        </w:rPr>
        <w:t>撤销</w:t>
      </w:r>
      <w:r>
        <w:rPr>
          <w:rFonts w:hint="eastAsia" w:ascii="宋体" w:hAnsi="宋体"/>
          <w:bCs/>
          <w:color w:val="auto"/>
          <w:sz w:val="24"/>
          <w:szCs w:val="24"/>
          <w:highlight w:val="none"/>
        </w:rPr>
        <w:t>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p>
    <w:p w14:paraId="4F5C5369">
      <w:pPr>
        <w:pStyle w:val="12"/>
        <w:widowControl w:val="0"/>
        <w:overflowPunct/>
        <w:autoSpaceDE/>
        <w:autoSpaceDN/>
        <w:adjustRightInd/>
        <w:snapToGrid w:val="0"/>
        <w:ind w:firstLine="530" w:firstLineChars="200"/>
        <w:textAlignment w:val="auto"/>
        <w:rPr>
          <w:rFonts w:hAnsi="宋体"/>
          <w:b/>
          <w:color w:val="auto"/>
          <w:szCs w:val="24"/>
          <w:highlight w:val="none"/>
        </w:rPr>
      </w:pPr>
      <w:r>
        <w:rPr>
          <w:rFonts w:hint="eastAsia" w:hAnsi="宋体"/>
          <w:b/>
          <w:color w:val="auto"/>
          <w:szCs w:val="24"/>
          <w:highlight w:val="none"/>
        </w:rPr>
        <w:t>1.</w:t>
      </w:r>
      <w:r>
        <w:rPr>
          <w:rFonts w:hAnsi="宋体"/>
          <w:b/>
          <w:color w:val="auto"/>
          <w:szCs w:val="24"/>
          <w:highlight w:val="none"/>
        </w:rPr>
        <w:t>在</w:t>
      </w:r>
      <w:r>
        <w:rPr>
          <w:rFonts w:hint="eastAsia" w:hAnsi="宋体"/>
          <w:b/>
          <w:color w:val="auto"/>
          <w:szCs w:val="24"/>
          <w:highlight w:val="none"/>
        </w:rPr>
        <w:t>技术资信标书</w:t>
      </w:r>
      <w:r>
        <w:rPr>
          <w:rFonts w:hAnsi="宋体"/>
          <w:b/>
          <w:color w:val="auto"/>
          <w:szCs w:val="24"/>
          <w:highlight w:val="none"/>
        </w:rPr>
        <w:t>评审时，如发现下列情形之一的，投标文件将被视为无效：</w:t>
      </w:r>
    </w:p>
    <w:p w14:paraId="1942BB40">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Ansi="宋体"/>
          <w:color w:val="auto"/>
          <w:szCs w:val="24"/>
          <w:highlight w:val="none"/>
        </w:rPr>
        <w:t>（</w:t>
      </w:r>
      <w:r>
        <w:rPr>
          <w:rFonts w:hint="eastAsia" w:hAnsi="宋体"/>
          <w:bCs/>
          <w:color w:val="auto"/>
          <w:kern w:val="2"/>
          <w:szCs w:val="24"/>
          <w:highlight w:val="none"/>
        </w:rPr>
        <w:t>1）未按招标文件的规定提交招标文件资料费或投标保证金的；</w:t>
      </w:r>
    </w:p>
    <w:p w14:paraId="510012AA">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（2）投标文件未按招标文件要求签字和盖章的；</w:t>
      </w:r>
    </w:p>
    <w:p w14:paraId="47C6E639">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（3）未提供法定代表人授权委托书（投标人代表不是法定代表人）的；</w:t>
      </w:r>
    </w:p>
    <w:p w14:paraId="0F5B1270">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（4）未提供</w:t>
      </w:r>
      <w:r>
        <w:rPr>
          <w:rFonts w:hint="eastAsia" w:hAnsi="宋体"/>
          <w:bCs/>
          <w:color w:val="auto"/>
          <w:kern w:val="2"/>
          <w:szCs w:val="24"/>
          <w:highlight w:val="none"/>
          <w:lang w:val="en-US" w:eastAsia="zh-CN"/>
        </w:rPr>
        <w:t>相关</w:t>
      </w:r>
      <w:r>
        <w:rPr>
          <w:rFonts w:hint="eastAsia" w:hAnsi="宋体"/>
          <w:bCs/>
          <w:color w:val="auto"/>
          <w:kern w:val="2"/>
          <w:szCs w:val="24"/>
          <w:highlight w:val="none"/>
        </w:rPr>
        <w:t>承诺书的；</w:t>
      </w:r>
    </w:p>
    <w:p w14:paraId="0FBFFD02">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（5）投标有效期不满足招标文件要求的；</w:t>
      </w:r>
    </w:p>
    <w:p w14:paraId="50179994">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（6）以联合体形式进行投标的，在投标文件中未提交联合体协议的；</w:t>
      </w:r>
    </w:p>
    <w:p w14:paraId="3A9E9E62">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（7）投标文件标明的商务、技术响应与事实不符或虚假投标的；</w:t>
      </w:r>
    </w:p>
    <w:p w14:paraId="073CA124">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（8）未响应招标文件标注“*”的实质性要求的；</w:t>
      </w:r>
    </w:p>
    <w:p w14:paraId="58EB2235">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（9）投标技术方案不明确，存在一个或一个以上备选（替代）投标方案的；</w:t>
      </w:r>
    </w:p>
    <w:p w14:paraId="5559DC80">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（10）投标文件含有招标人不能接受的附加条件的；</w:t>
      </w:r>
    </w:p>
    <w:p w14:paraId="73E3F7B7">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（11）不同投标人的投标文件由同一单位IP或者个人编制的；</w:t>
      </w:r>
    </w:p>
    <w:p w14:paraId="2E362899">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（12）不同投标人委托同一单位或者个人办理投标事宜的；</w:t>
      </w:r>
    </w:p>
    <w:p w14:paraId="519E22D3">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（13） 不同投标人的投标文件载明的项目管理成员或者联系人员为同一人的；</w:t>
      </w:r>
    </w:p>
    <w:p w14:paraId="07777CD2">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（14）不同投标人的投标文件异常一致的；</w:t>
      </w:r>
    </w:p>
    <w:p w14:paraId="263A0EC3">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（15）不同投标人的投标文件相互混装</w:t>
      </w:r>
      <w:r>
        <w:rPr>
          <w:rFonts w:hint="eastAsia" w:hAnsi="宋体"/>
          <w:bCs/>
          <w:color w:val="auto"/>
          <w:kern w:val="2"/>
          <w:szCs w:val="24"/>
          <w:highlight w:val="none"/>
          <w:lang w:val="en-US" w:eastAsia="zh-CN"/>
        </w:rPr>
        <w:t>上传</w:t>
      </w:r>
      <w:r>
        <w:rPr>
          <w:rFonts w:hint="eastAsia" w:hAnsi="宋体"/>
          <w:bCs/>
          <w:color w:val="auto"/>
          <w:kern w:val="2"/>
          <w:szCs w:val="24"/>
          <w:highlight w:val="none"/>
        </w:rPr>
        <w:t>的；</w:t>
      </w:r>
    </w:p>
    <w:p w14:paraId="4FDDF04E">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（16）不同投标人的投标保证金从同一单位或者个人的账户转出的；</w:t>
      </w:r>
    </w:p>
    <w:p w14:paraId="39A35563">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bCs/>
          <w:color w:val="auto"/>
          <w:kern w:val="2"/>
          <w:szCs w:val="24"/>
          <w:highlight w:val="none"/>
        </w:rPr>
        <w:t>（17）法律、法规和招标文件规定的其他无效情形。</w:t>
      </w:r>
    </w:p>
    <w:p w14:paraId="59B2B5D0">
      <w:pPr>
        <w:pStyle w:val="12"/>
        <w:widowControl w:val="0"/>
        <w:overflowPunct/>
        <w:autoSpaceDE/>
        <w:autoSpaceDN/>
        <w:adjustRightInd/>
        <w:snapToGrid w:val="0"/>
        <w:ind w:firstLine="519" w:firstLineChars="196"/>
        <w:textAlignment w:val="auto"/>
        <w:rPr>
          <w:rFonts w:hint="eastAsia" w:hAnsi="宋体"/>
          <w:b/>
          <w:bCs/>
          <w:color w:val="auto"/>
          <w:szCs w:val="24"/>
          <w:highlight w:val="none"/>
        </w:rPr>
      </w:pPr>
      <w:r>
        <w:rPr>
          <w:rFonts w:hint="eastAsia" w:hAnsi="宋体"/>
          <w:b/>
          <w:bCs/>
          <w:color w:val="auto"/>
          <w:szCs w:val="24"/>
          <w:highlight w:val="none"/>
        </w:rPr>
        <w:t>2.</w:t>
      </w:r>
      <w:r>
        <w:rPr>
          <w:rFonts w:hAnsi="宋体"/>
          <w:b/>
          <w:bCs/>
          <w:color w:val="auto"/>
          <w:szCs w:val="24"/>
          <w:highlight w:val="none"/>
        </w:rPr>
        <w:t>在</w:t>
      </w:r>
      <w:r>
        <w:rPr>
          <w:rFonts w:hint="eastAsia" w:hAnsi="宋体"/>
          <w:b/>
          <w:bCs/>
          <w:color w:val="auto"/>
          <w:szCs w:val="24"/>
          <w:highlight w:val="none"/>
        </w:rPr>
        <w:t>商务经济标书</w:t>
      </w:r>
      <w:r>
        <w:rPr>
          <w:rFonts w:hAnsi="宋体"/>
          <w:b/>
          <w:bCs/>
          <w:color w:val="auto"/>
          <w:szCs w:val="24"/>
          <w:highlight w:val="none"/>
        </w:rPr>
        <w:t>评审时，如发现下列情形之一的，投标将被视为无效：</w:t>
      </w:r>
    </w:p>
    <w:p w14:paraId="3010956F">
      <w:pPr>
        <w:pStyle w:val="12"/>
        <w:widowControl w:val="0"/>
        <w:overflowPunct/>
        <w:autoSpaceDE/>
        <w:autoSpaceDN/>
        <w:adjustRightInd/>
        <w:snapToGrid w:val="0"/>
        <w:ind w:firstLine="528" w:firstLineChars="200"/>
        <w:textAlignment w:val="auto"/>
        <w:rPr>
          <w:rFonts w:hint="eastAsia" w:hAnsi="宋体"/>
          <w:color w:val="auto"/>
          <w:szCs w:val="24"/>
          <w:highlight w:val="none"/>
        </w:rPr>
      </w:pPr>
      <w:r>
        <w:rPr>
          <w:rFonts w:hint="eastAsia" w:hAnsi="宋体"/>
          <w:color w:val="auto"/>
          <w:szCs w:val="24"/>
          <w:highlight w:val="none"/>
        </w:rPr>
        <w:t>（1</w:t>
      </w:r>
      <w:r>
        <w:rPr>
          <w:rFonts w:hAnsi="宋体"/>
          <w:color w:val="auto"/>
          <w:szCs w:val="24"/>
          <w:highlight w:val="none"/>
        </w:rPr>
        <w:t>）投标文件未按招标文件要求签字和盖章的</w:t>
      </w:r>
      <w:r>
        <w:rPr>
          <w:rFonts w:hint="eastAsia" w:hAnsi="宋体"/>
          <w:color w:val="auto"/>
          <w:szCs w:val="24"/>
          <w:highlight w:val="none"/>
        </w:rPr>
        <w:t>；</w:t>
      </w:r>
    </w:p>
    <w:p w14:paraId="6E385D23">
      <w:pPr>
        <w:pStyle w:val="12"/>
        <w:widowControl w:val="0"/>
        <w:overflowPunct/>
        <w:autoSpaceDE/>
        <w:autoSpaceDN/>
        <w:adjustRightInd/>
        <w:snapToGrid w:val="0"/>
        <w:ind w:firstLine="528" w:firstLineChars="200"/>
        <w:textAlignment w:val="auto"/>
        <w:rPr>
          <w:rFonts w:hint="eastAsia" w:hAnsi="宋体"/>
          <w:color w:val="auto"/>
          <w:szCs w:val="24"/>
          <w:highlight w:val="none"/>
        </w:rPr>
      </w:pPr>
      <w:r>
        <w:rPr>
          <w:rFonts w:hAnsi="宋体"/>
          <w:color w:val="auto"/>
          <w:szCs w:val="24"/>
          <w:highlight w:val="none"/>
        </w:rPr>
        <w:t>（</w:t>
      </w:r>
      <w:r>
        <w:rPr>
          <w:rFonts w:hint="eastAsia" w:hAnsi="宋体"/>
          <w:color w:val="auto"/>
          <w:szCs w:val="24"/>
          <w:highlight w:val="none"/>
        </w:rPr>
        <w:t>2</w:t>
      </w:r>
      <w:r>
        <w:rPr>
          <w:rFonts w:hAnsi="宋体"/>
          <w:color w:val="auto"/>
          <w:szCs w:val="24"/>
          <w:highlight w:val="none"/>
        </w:rPr>
        <w:t>）</w:t>
      </w:r>
      <w:r>
        <w:rPr>
          <w:rFonts w:hint="eastAsia" w:hAnsi="宋体"/>
          <w:color w:val="auto"/>
          <w:szCs w:val="24"/>
          <w:highlight w:val="none"/>
        </w:rPr>
        <w:t>报价超过招标文件中规定的最高限价的；</w:t>
      </w:r>
    </w:p>
    <w:p w14:paraId="6999CA61">
      <w:pPr>
        <w:pStyle w:val="12"/>
        <w:widowControl w:val="0"/>
        <w:overflowPunct/>
        <w:autoSpaceDE/>
        <w:autoSpaceDN/>
        <w:adjustRightInd/>
        <w:snapToGrid w:val="0"/>
        <w:ind w:firstLine="528" w:firstLineChars="200"/>
        <w:textAlignment w:val="auto"/>
        <w:rPr>
          <w:rFonts w:hint="eastAsia" w:hAnsi="宋体" w:eastAsia="宋体"/>
          <w:color w:val="auto"/>
          <w:szCs w:val="24"/>
          <w:highlight w:val="none"/>
          <w:lang w:eastAsia="zh-CN"/>
        </w:rPr>
      </w:pPr>
      <w:r>
        <w:rPr>
          <w:rFonts w:hint="eastAsia" w:hAnsi="宋体"/>
          <w:color w:val="auto"/>
          <w:szCs w:val="24"/>
          <w:highlight w:val="none"/>
        </w:rPr>
        <w:t>（3）投标报价具有选择性的</w:t>
      </w:r>
      <w:r>
        <w:rPr>
          <w:rFonts w:hint="eastAsia" w:hAnsi="宋体"/>
          <w:color w:val="auto"/>
          <w:szCs w:val="24"/>
          <w:highlight w:val="none"/>
          <w:lang w:eastAsia="zh-CN"/>
        </w:rPr>
        <w:t>；</w:t>
      </w:r>
    </w:p>
    <w:p w14:paraId="59C9E52A">
      <w:pPr>
        <w:pStyle w:val="12"/>
        <w:widowControl w:val="0"/>
        <w:overflowPunct/>
        <w:autoSpaceDE/>
        <w:autoSpaceDN/>
        <w:adjustRightInd/>
        <w:snapToGrid w:val="0"/>
        <w:ind w:firstLine="528" w:firstLineChars="200"/>
        <w:textAlignment w:val="auto"/>
        <w:rPr>
          <w:rFonts w:hint="eastAsia" w:hAnsi="宋体"/>
          <w:bCs/>
          <w:color w:val="auto"/>
          <w:kern w:val="2"/>
          <w:szCs w:val="24"/>
          <w:highlight w:val="none"/>
        </w:rPr>
      </w:pPr>
      <w:r>
        <w:rPr>
          <w:rFonts w:hint="eastAsia" w:hAnsi="宋体"/>
          <w:color w:val="auto"/>
          <w:szCs w:val="24"/>
          <w:highlight w:val="none"/>
        </w:rPr>
        <w:t>（4）</w:t>
      </w:r>
      <w:r>
        <w:rPr>
          <w:rFonts w:hint="eastAsia" w:hAnsi="宋体"/>
          <w:bCs/>
          <w:color w:val="auto"/>
          <w:kern w:val="2"/>
          <w:szCs w:val="24"/>
          <w:highlight w:val="none"/>
        </w:rPr>
        <w:t>不同投标人的投标报价呈规律性差异的；</w:t>
      </w:r>
    </w:p>
    <w:p w14:paraId="490DD74B">
      <w:pPr>
        <w:pStyle w:val="12"/>
        <w:widowControl w:val="0"/>
        <w:overflowPunct/>
        <w:autoSpaceDE/>
        <w:autoSpaceDN/>
        <w:adjustRightInd/>
        <w:snapToGrid w:val="0"/>
        <w:ind w:firstLine="528" w:firstLineChars="200"/>
        <w:textAlignment w:val="auto"/>
        <w:rPr>
          <w:rFonts w:hint="eastAsia" w:hAnsi="宋体"/>
          <w:color w:val="auto"/>
          <w:szCs w:val="24"/>
          <w:highlight w:val="none"/>
        </w:rPr>
      </w:pPr>
      <w:r>
        <w:rPr>
          <w:rFonts w:hint="eastAsia" w:hAnsi="宋体"/>
          <w:color w:val="auto"/>
          <w:szCs w:val="24"/>
          <w:highlight w:val="none"/>
        </w:rPr>
        <w:t>（5）</w:t>
      </w:r>
      <w:r>
        <w:rPr>
          <w:rFonts w:hAnsi="宋体"/>
          <w:color w:val="auto"/>
          <w:szCs w:val="24"/>
          <w:highlight w:val="none"/>
        </w:rPr>
        <w:t>不接受</w:t>
      </w:r>
      <w:r>
        <w:rPr>
          <w:rFonts w:hint="eastAsia" w:hAnsi="宋体"/>
          <w:color w:val="auto"/>
          <w:szCs w:val="24"/>
          <w:highlight w:val="none"/>
        </w:rPr>
        <w:t>按招标文件规定的</w:t>
      </w:r>
      <w:r>
        <w:rPr>
          <w:rFonts w:hAnsi="宋体"/>
          <w:color w:val="auto"/>
          <w:szCs w:val="24"/>
          <w:highlight w:val="none"/>
        </w:rPr>
        <w:t>修正错误原则修正后的报价</w:t>
      </w:r>
      <w:r>
        <w:rPr>
          <w:rFonts w:hint="eastAsia" w:hAnsi="宋体"/>
          <w:color w:val="auto"/>
          <w:szCs w:val="24"/>
          <w:highlight w:val="none"/>
        </w:rPr>
        <w:t>的；</w:t>
      </w:r>
    </w:p>
    <w:p w14:paraId="3233261A">
      <w:pPr>
        <w:pStyle w:val="12"/>
        <w:widowControl w:val="0"/>
        <w:overflowPunct/>
        <w:autoSpaceDE/>
        <w:autoSpaceDN/>
        <w:adjustRightInd/>
        <w:snapToGrid w:val="0"/>
        <w:ind w:firstLine="528" w:firstLineChars="200"/>
        <w:textAlignment w:val="auto"/>
        <w:rPr>
          <w:rFonts w:hint="eastAsia" w:hAnsi="宋体"/>
          <w:color w:val="auto"/>
          <w:szCs w:val="24"/>
          <w:highlight w:val="none"/>
        </w:rPr>
      </w:pPr>
      <w:r>
        <w:rPr>
          <w:rFonts w:hint="eastAsia" w:hAnsi="宋体"/>
          <w:color w:val="auto"/>
          <w:szCs w:val="24"/>
          <w:highlight w:val="none"/>
        </w:rPr>
        <w:t>（6）</w:t>
      </w:r>
      <w:r>
        <w:rPr>
          <w:rFonts w:hAnsi="宋体"/>
          <w:color w:val="auto"/>
          <w:szCs w:val="24"/>
          <w:highlight w:val="none"/>
        </w:rPr>
        <w:t>评标委员会认为投标人的</w:t>
      </w:r>
      <w:r>
        <w:rPr>
          <w:rFonts w:hint="eastAsia" w:hAnsi="宋体"/>
          <w:color w:val="auto"/>
          <w:szCs w:val="24"/>
          <w:highlight w:val="none"/>
        </w:rPr>
        <w:t>报价明显低于其他通过符合性审查投标人的报价，且投标人不能证明其报价合理性，有可能影响服务质量或者不能诚信履约的；</w:t>
      </w:r>
    </w:p>
    <w:p w14:paraId="3B038C23">
      <w:pPr>
        <w:pStyle w:val="12"/>
        <w:widowControl w:val="0"/>
        <w:overflowPunct/>
        <w:autoSpaceDE/>
        <w:autoSpaceDN/>
        <w:adjustRightInd/>
        <w:snapToGrid w:val="0"/>
        <w:ind w:firstLine="528" w:firstLineChars="200"/>
        <w:textAlignment w:val="auto"/>
        <w:rPr>
          <w:rFonts w:hint="eastAsia"/>
          <w:color w:val="auto"/>
          <w:szCs w:val="24"/>
          <w:highlight w:val="none"/>
        </w:rPr>
      </w:pPr>
      <w:r>
        <w:rPr>
          <w:rFonts w:hint="eastAsia" w:hAnsi="宋体"/>
          <w:color w:val="auto"/>
          <w:szCs w:val="24"/>
          <w:highlight w:val="none"/>
        </w:rPr>
        <w:t>（7）法律、法规和招标文件规定的其他无效情形。</w:t>
      </w:r>
    </w:p>
    <w:p w14:paraId="5BE954B4">
      <w:pPr>
        <w:pStyle w:val="5"/>
        <w:spacing w:line="360" w:lineRule="auto"/>
        <w:rPr>
          <w:rFonts w:hint="eastAsia"/>
          <w:color w:val="auto"/>
          <w:sz w:val="24"/>
          <w:szCs w:val="24"/>
          <w:highlight w:val="none"/>
        </w:rPr>
      </w:pPr>
      <w:r>
        <w:rPr>
          <w:rFonts w:hint="eastAsia"/>
          <w:color w:val="auto"/>
          <w:sz w:val="24"/>
          <w:szCs w:val="24"/>
          <w:highlight w:val="none"/>
        </w:rPr>
        <w:t>5．详细评审Z= 技术部分评审J（</w:t>
      </w:r>
      <w:r>
        <w:rPr>
          <w:rFonts w:hint="eastAsia" w:ascii="宋体" w:hAnsi="宋体" w:cs="宋体"/>
          <w:color w:val="auto"/>
          <w:sz w:val="24"/>
          <w:szCs w:val="24"/>
          <w:highlight w:val="none"/>
        </w:rPr>
        <w:t>占总分权重的</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0%</w:t>
      </w:r>
      <w:r>
        <w:rPr>
          <w:rFonts w:hint="eastAsia"/>
          <w:color w:val="auto"/>
          <w:sz w:val="24"/>
          <w:szCs w:val="24"/>
          <w:highlight w:val="none"/>
        </w:rPr>
        <w:t>）+ 商务评审S（</w:t>
      </w:r>
      <w:r>
        <w:rPr>
          <w:rFonts w:hint="eastAsia" w:ascii="宋体" w:hAnsi="宋体" w:cs="宋体"/>
          <w:color w:val="auto"/>
          <w:sz w:val="24"/>
          <w:szCs w:val="24"/>
          <w:highlight w:val="none"/>
        </w:rPr>
        <w:t>占总分权重的</w:t>
      </w: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rPr>
        <w:t>0%</w:t>
      </w:r>
      <w:r>
        <w:rPr>
          <w:rFonts w:hint="eastAsia"/>
          <w:color w:val="auto"/>
          <w:sz w:val="24"/>
          <w:szCs w:val="24"/>
          <w:highlight w:val="none"/>
        </w:rPr>
        <w:t>）</w:t>
      </w:r>
      <w:bookmarkEnd w:id="270"/>
    </w:p>
    <w:p w14:paraId="10D031C6">
      <w:pPr>
        <w:pStyle w:val="6"/>
        <w:spacing w:line="360" w:lineRule="auto"/>
        <w:rPr>
          <w:rFonts w:hint="eastAsia"/>
          <w:color w:val="auto"/>
          <w:szCs w:val="24"/>
          <w:highlight w:val="none"/>
        </w:rPr>
      </w:pPr>
      <w:bookmarkStart w:id="272" w:name="_Toc72846813"/>
      <w:bookmarkStart w:id="273" w:name="_Toc72846811"/>
      <w:r>
        <w:rPr>
          <w:rFonts w:hint="eastAsia"/>
          <w:color w:val="auto"/>
          <w:szCs w:val="24"/>
          <w:highlight w:val="none"/>
        </w:rPr>
        <w:t>第三部分：综合评估打分法说明</w:t>
      </w:r>
      <w:bookmarkEnd w:id="272"/>
    </w:p>
    <w:p w14:paraId="0ACFC91E">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采用综合评估打分法评标时应先评技术资信文件后评商务经济文件，对有效投标人投标书的技术、商务部分分别按照打分方法打分后，投标人的最终得分为商务经济文件评审和技术资信文件评审得分之和。</w:t>
      </w:r>
    </w:p>
    <w:p w14:paraId="3A672261">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按下列公式计算出投标人的最后得分：</w:t>
      </w:r>
    </w:p>
    <w:p w14:paraId="0F555A1E">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Z= S+J</w:t>
      </w:r>
    </w:p>
    <w:p w14:paraId="7454775C">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其中：</w:t>
      </w:r>
    </w:p>
    <w:p w14:paraId="0C8A9D3D">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Z：指投标人的详细评审最后得分；</w:t>
      </w:r>
    </w:p>
    <w:p w14:paraId="337164F7">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S：指投标人的商务经济文件得分；</w:t>
      </w:r>
    </w:p>
    <w:p w14:paraId="5F9A5D15">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J：指投标人的技术资信文件评审得分；</w:t>
      </w:r>
    </w:p>
    <w:p w14:paraId="3E1D9E09">
      <w:pPr>
        <w:pStyle w:val="6"/>
        <w:spacing w:line="360" w:lineRule="auto"/>
        <w:rPr>
          <w:rFonts w:hint="eastAsia" w:ascii="宋体" w:hAnsi="宋体" w:cs="宋体"/>
          <w:color w:val="auto"/>
          <w:sz w:val="24"/>
          <w:szCs w:val="24"/>
          <w:highlight w:val="none"/>
        </w:rPr>
      </w:pPr>
      <w:r>
        <w:rPr>
          <w:rFonts w:hint="eastAsia"/>
          <w:color w:val="auto"/>
          <w:szCs w:val="24"/>
          <w:highlight w:val="none"/>
        </w:rPr>
        <w:t>第一部分：技术资信文件评审J（满分100分，</w:t>
      </w:r>
      <w:r>
        <w:rPr>
          <w:rFonts w:hint="eastAsia" w:ascii="宋体" w:hAnsi="宋体" w:cs="宋体"/>
          <w:color w:val="auto"/>
          <w:szCs w:val="24"/>
          <w:highlight w:val="none"/>
        </w:rPr>
        <w:t>占总分权重的</w:t>
      </w:r>
      <w:r>
        <w:rPr>
          <w:rFonts w:hint="eastAsia" w:ascii="宋体" w:hAnsi="宋体" w:cs="宋体"/>
          <w:color w:val="auto"/>
          <w:szCs w:val="24"/>
          <w:highlight w:val="none"/>
          <w:lang w:val="en-US" w:eastAsia="zh-CN"/>
        </w:rPr>
        <w:t>3</w:t>
      </w:r>
      <w:r>
        <w:rPr>
          <w:rFonts w:hint="eastAsia" w:ascii="宋体" w:hAnsi="宋体" w:cs="宋体"/>
          <w:color w:val="auto"/>
          <w:szCs w:val="24"/>
          <w:highlight w:val="none"/>
        </w:rPr>
        <w:t>0%</w:t>
      </w:r>
      <w:r>
        <w:rPr>
          <w:rFonts w:hint="eastAsia"/>
          <w:color w:val="auto"/>
          <w:szCs w:val="24"/>
          <w:highlight w:val="none"/>
        </w:rPr>
        <w:t>）</w:t>
      </w:r>
      <w:bookmarkEnd w:id="273"/>
    </w:p>
    <w:tbl>
      <w:tblPr>
        <w:tblStyle w:val="22"/>
        <w:tblW w:w="9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297"/>
        <w:gridCol w:w="5891"/>
        <w:gridCol w:w="804"/>
        <w:gridCol w:w="743"/>
      </w:tblGrid>
      <w:tr w14:paraId="4F6A6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Align w:val="center"/>
          </w:tcPr>
          <w:p w14:paraId="4CF8BF91">
            <w:pPr>
              <w:rPr>
                <w:rFonts w:hint="eastAsia"/>
                <w:color w:val="auto"/>
                <w:highlight w:val="none"/>
                <w:lang w:val="en-US" w:eastAsia="zh-CN"/>
              </w:rPr>
            </w:pPr>
            <w:r>
              <w:rPr>
                <w:rFonts w:hint="eastAsia"/>
                <w:color w:val="auto"/>
                <w:highlight w:val="none"/>
                <w:lang w:val="en-US" w:eastAsia="zh-CN"/>
              </w:rPr>
              <w:t>序号</w:t>
            </w:r>
          </w:p>
        </w:tc>
        <w:tc>
          <w:tcPr>
            <w:tcW w:w="1297" w:type="dxa"/>
            <w:vAlign w:val="center"/>
          </w:tcPr>
          <w:p w14:paraId="7336A033">
            <w:pPr>
              <w:rPr>
                <w:color w:val="auto"/>
                <w:highlight w:val="none"/>
              </w:rPr>
            </w:pPr>
            <w:r>
              <w:rPr>
                <w:rFonts w:hint="eastAsia"/>
                <w:color w:val="auto"/>
                <w:highlight w:val="none"/>
              </w:rPr>
              <w:t>评审内容</w:t>
            </w:r>
          </w:p>
        </w:tc>
        <w:tc>
          <w:tcPr>
            <w:tcW w:w="5891" w:type="dxa"/>
            <w:vAlign w:val="center"/>
          </w:tcPr>
          <w:p w14:paraId="1EC0AB95">
            <w:pPr>
              <w:pStyle w:val="20"/>
              <w:tabs>
                <w:tab w:val="left" w:pos="435"/>
              </w:tabs>
              <w:spacing w:line="420" w:lineRule="exact"/>
              <w:ind w:firstLine="528"/>
              <w:jc w:val="center"/>
              <w:rPr>
                <w:rFonts w:hAnsi="宋体"/>
                <w:color w:val="auto"/>
                <w:sz w:val="24"/>
                <w:szCs w:val="24"/>
                <w:highlight w:val="none"/>
              </w:rPr>
            </w:pPr>
            <w:r>
              <w:rPr>
                <w:rFonts w:hint="eastAsia" w:hAnsi="宋体"/>
                <w:color w:val="auto"/>
                <w:sz w:val="24"/>
                <w:szCs w:val="24"/>
                <w:highlight w:val="none"/>
              </w:rPr>
              <w:t>评审标准</w:t>
            </w:r>
          </w:p>
        </w:tc>
        <w:tc>
          <w:tcPr>
            <w:tcW w:w="804" w:type="dxa"/>
            <w:shd w:val="clear" w:color="auto" w:fill="auto"/>
            <w:vAlign w:val="center"/>
          </w:tcPr>
          <w:p w14:paraId="5E6F6739">
            <w:pPr>
              <w:snapToGrid w:val="0"/>
              <w:spacing w:line="360" w:lineRule="auto"/>
              <w:jc w:val="center"/>
              <w:rPr>
                <w:rFonts w:hint="eastAsia" w:ascii="宋体" w:hAnsi="宋体" w:eastAsia="宋体" w:cs="宋体"/>
                <w:color w:val="auto"/>
                <w:kern w:val="2"/>
                <w:sz w:val="24"/>
                <w:szCs w:val="24"/>
                <w:highlight w:val="none"/>
                <w:lang w:val="en-US" w:eastAsia="zh-CN" w:bidi="ar-SA"/>
              </w:rPr>
            </w:pPr>
            <w:r>
              <w:rPr>
                <w:rFonts w:hint="eastAsia" w:ascii="宋体" w:hAnsi="宋体"/>
                <w:bCs/>
                <w:color w:val="auto"/>
                <w:sz w:val="24"/>
                <w:highlight w:val="none"/>
              </w:rPr>
              <w:t>分值</w:t>
            </w:r>
          </w:p>
        </w:tc>
        <w:tc>
          <w:tcPr>
            <w:tcW w:w="743" w:type="dxa"/>
            <w:vAlign w:val="center"/>
          </w:tcPr>
          <w:p w14:paraId="7DF40B31">
            <w:pPr>
              <w:jc w:val="center"/>
              <w:rPr>
                <w:rFonts w:hint="eastAsia" w:hAnsi="宋体"/>
                <w:color w:val="auto"/>
                <w:sz w:val="24"/>
                <w:szCs w:val="24"/>
                <w:highlight w:val="none"/>
              </w:rPr>
            </w:pPr>
            <w:r>
              <w:rPr>
                <w:rFonts w:hint="eastAsia" w:hAnsi="宋体"/>
                <w:color w:val="auto"/>
                <w:szCs w:val="21"/>
                <w:highlight w:val="none"/>
              </w:rPr>
              <w:t>权重</w:t>
            </w:r>
          </w:p>
        </w:tc>
      </w:tr>
      <w:tr w14:paraId="662DD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778" w:type="dxa"/>
            <w:vAlign w:val="center"/>
          </w:tcPr>
          <w:p w14:paraId="3D04B05C">
            <w:pPr>
              <w:snapToGrid w:val="0"/>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1</w:t>
            </w:r>
          </w:p>
        </w:tc>
        <w:tc>
          <w:tcPr>
            <w:tcW w:w="1297" w:type="dxa"/>
            <w:vAlign w:val="center"/>
          </w:tcPr>
          <w:p w14:paraId="16B35004">
            <w:pPr>
              <w:snapToGrid w:val="0"/>
              <w:jc w:val="center"/>
              <w:rPr>
                <w:rFonts w:hint="eastAsia" w:ascii="宋体" w:hAnsi="宋体" w:cs="宋体"/>
                <w:color w:val="auto"/>
                <w:sz w:val="24"/>
                <w:szCs w:val="24"/>
                <w:highlight w:val="none"/>
              </w:rPr>
            </w:pPr>
            <w:r>
              <w:rPr>
                <w:rFonts w:hint="eastAsia"/>
                <w:color w:val="auto"/>
                <w:sz w:val="24"/>
                <w:szCs w:val="24"/>
                <w:highlight w:val="none"/>
              </w:rPr>
              <w:t>企</w:t>
            </w:r>
            <w:r>
              <w:rPr>
                <w:rFonts w:hint="eastAsia" w:ascii="宋体" w:hAnsi="宋体" w:cs="宋体"/>
                <w:color w:val="auto"/>
                <w:sz w:val="24"/>
                <w:szCs w:val="24"/>
                <w:highlight w:val="none"/>
              </w:rPr>
              <w:t>业</w:t>
            </w:r>
            <w:r>
              <w:rPr>
                <w:rFonts w:hint="eastAsia"/>
                <w:color w:val="auto"/>
                <w:sz w:val="24"/>
                <w:szCs w:val="24"/>
                <w:highlight w:val="none"/>
              </w:rPr>
              <w:t>综合实力</w:t>
            </w:r>
          </w:p>
        </w:tc>
        <w:tc>
          <w:tcPr>
            <w:tcW w:w="5891" w:type="dxa"/>
            <w:vAlign w:val="center"/>
          </w:tcPr>
          <w:p w14:paraId="2065CA8C">
            <w:pPr>
              <w:tabs>
                <w:tab w:val="left" w:pos="210"/>
              </w:tabs>
              <w:spacing w:line="360" w:lineRule="auto"/>
              <w:rPr>
                <w:rFonts w:hint="default" w:eastAsia="宋体"/>
                <w:color w:val="auto"/>
                <w:sz w:val="24"/>
                <w:szCs w:val="24"/>
                <w:highlight w:val="none"/>
                <w:lang w:val="en-US" w:eastAsia="zh-CN"/>
              </w:rPr>
            </w:pPr>
            <w:r>
              <w:rPr>
                <w:rFonts w:hint="eastAsia"/>
                <w:color w:val="auto"/>
                <w:sz w:val="24"/>
                <w:szCs w:val="24"/>
                <w:highlight w:val="none"/>
              </w:rPr>
              <w:t>企</w:t>
            </w:r>
            <w:r>
              <w:rPr>
                <w:rFonts w:hint="eastAsia" w:ascii="宋体" w:hAnsi="宋体" w:cs="宋体"/>
                <w:color w:val="auto"/>
                <w:sz w:val="24"/>
                <w:szCs w:val="24"/>
                <w:highlight w:val="none"/>
              </w:rPr>
              <w:t>业</w:t>
            </w:r>
            <w:r>
              <w:rPr>
                <w:rFonts w:hint="eastAsia"/>
                <w:color w:val="auto"/>
                <w:sz w:val="24"/>
                <w:szCs w:val="24"/>
                <w:highlight w:val="none"/>
              </w:rPr>
              <w:t>综合实力</w:t>
            </w:r>
            <w:r>
              <w:rPr>
                <w:rFonts w:hint="eastAsia"/>
                <w:color w:val="auto"/>
                <w:sz w:val="24"/>
                <w:szCs w:val="24"/>
                <w:highlight w:val="none"/>
                <w:lang w:eastAsia="zh-CN"/>
              </w:rPr>
              <w:t>：</w:t>
            </w:r>
            <w:r>
              <w:rPr>
                <w:rFonts w:hint="eastAsia"/>
                <w:color w:val="auto"/>
                <w:sz w:val="24"/>
                <w:szCs w:val="24"/>
                <w:highlight w:val="none"/>
              </w:rPr>
              <w:t>结合本项目实际，</w:t>
            </w:r>
            <w:r>
              <w:rPr>
                <w:rFonts w:hint="eastAsia"/>
                <w:color w:val="auto"/>
                <w:sz w:val="24"/>
                <w:szCs w:val="24"/>
                <w:highlight w:val="none"/>
                <w:lang w:val="en-US" w:eastAsia="zh-CN"/>
              </w:rPr>
              <w:t>招标人具备矿山建筑施工总承包等级一级得90分</w:t>
            </w:r>
            <w:r>
              <w:rPr>
                <w:rFonts w:hint="eastAsia"/>
                <w:color w:val="auto"/>
                <w:highlight w:val="none"/>
                <w:lang w:eastAsia="zh-CN"/>
              </w:rPr>
              <w:t>；</w:t>
            </w:r>
            <w:r>
              <w:rPr>
                <w:rFonts w:hint="eastAsia"/>
                <w:color w:val="auto"/>
                <w:sz w:val="24"/>
                <w:szCs w:val="24"/>
                <w:highlight w:val="none"/>
                <w:lang w:val="en-US" w:eastAsia="zh-CN"/>
              </w:rPr>
              <w:t>矿山建筑施工总承包等级特级得100分。</w:t>
            </w:r>
          </w:p>
          <w:p w14:paraId="30485882">
            <w:pPr>
              <w:rPr>
                <w:rFonts w:ascii="宋体" w:hAnsi="宋体"/>
                <w:color w:val="auto"/>
                <w:sz w:val="24"/>
                <w:highlight w:val="none"/>
              </w:rPr>
            </w:pPr>
            <w:r>
              <w:rPr>
                <w:rFonts w:hint="eastAsia"/>
                <w:color w:val="auto"/>
                <w:sz w:val="24"/>
                <w:szCs w:val="24"/>
                <w:highlight w:val="none"/>
              </w:rPr>
              <w:t>评审依据：投标人提供资质证书扫描件。</w:t>
            </w:r>
          </w:p>
        </w:tc>
        <w:tc>
          <w:tcPr>
            <w:tcW w:w="804" w:type="dxa"/>
            <w:shd w:val="clear" w:color="auto" w:fill="auto"/>
            <w:vAlign w:val="center"/>
          </w:tcPr>
          <w:p w14:paraId="1E9176CC">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0-100</w:t>
            </w:r>
          </w:p>
        </w:tc>
        <w:tc>
          <w:tcPr>
            <w:tcW w:w="743" w:type="dxa"/>
            <w:vAlign w:val="center"/>
          </w:tcPr>
          <w:p w14:paraId="2458BBAD">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7%</w:t>
            </w:r>
          </w:p>
        </w:tc>
      </w:tr>
      <w:tr w14:paraId="33B12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78" w:type="dxa"/>
            <w:vAlign w:val="center"/>
          </w:tcPr>
          <w:p w14:paraId="009D4374">
            <w:pPr>
              <w:snapToGrid w:val="0"/>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2</w:t>
            </w:r>
          </w:p>
        </w:tc>
        <w:tc>
          <w:tcPr>
            <w:tcW w:w="1297" w:type="dxa"/>
            <w:vAlign w:val="center"/>
          </w:tcPr>
          <w:p w14:paraId="7998E14A">
            <w:pPr>
              <w:snapToGrid w:val="0"/>
              <w:jc w:val="center"/>
              <w:rPr>
                <w:rFonts w:ascii="宋体" w:hAnsi="宋体"/>
                <w:color w:val="auto"/>
                <w:sz w:val="24"/>
                <w:highlight w:val="none"/>
              </w:rPr>
            </w:pPr>
            <w:r>
              <w:rPr>
                <w:rFonts w:hint="eastAsia" w:ascii="宋体" w:hAnsi="宋体" w:cs="宋体"/>
                <w:color w:val="auto"/>
                <w:sz w:val="24"/>
                <w:szCs w:val="24"/>
                <w:highlight w:val="none"/>
              </w:rPr>
              <w:t>企业财务能力</w:t>
            </w:r>
          </w:p>
        </w:tc>
        <w:tc>
          <w:tcPr>
            <w:tcW w:w="5891" w:type="dxa"/>
            <w:vAlign w:val="center"/>
          </w:tcPr>
          <w:p w14:paraId="7AA31F71">
            <w:pPr>
              <w:tabs>
                <w:tab w:val="left" w:pos="210"/>
              </w:tabs>
              <w:spacing w:line="360" w:lineRule="auto"/>
              <w:rPr>
                <w:rFonts w:hint="eastAsia"/>
                <w:color w:val="auto"/>
                <w:sz w:val="24"/>
                <w:szCs w:val="24"/>
                <w:highlight w:val="none"/>
              </w:rPr>
            </w:pPr>
            <w:r>
              <w:rPr>
                <w:rFonts w:hint="eastAsia" w:ascii="宋体" w:hAnsi="宋体" w:cs="宋体"/>
                <w:color w:val="auto"/>
                <w:sz w:val="24"/>
                <w:szCs w:val="24"/>
                <w:highlight w:val="none"/>
              </w:rPr>
              <w:t>企业财务能力</w:t>
            </w:r>
            <w:r>
              <w:rPr>
                <w:rFonts w:hint="eastAsia" w:ascii="宋体" w:hAnsi="宋体" w:cs="宋体"/>
                <w:color w:val="auto"/>
                <w:sz w:val="24"/>
                <w:szCs w:val="24"/>
                <w:highlight w:val="none"/>
                <w:lang w:eastAsia="zh-CN"/>
              </w:rPr>
              <w:t>：</w:t>
            </w:r>
            <w:r>
              <w:rPr>
                <w:rFonts w:hint="eastAsia"/>
                <w:color w:val="auto"/>
                <w:sz w:val="24"/>
                <w:szCs w:val="24"/>
                <w:highlight w:val="none"/>
              </w:rPr>
              <w:t>（1）投标人在2021-2023年度连续三年盈利得30分，其中：2年盈利得18分，1年盈利得9分，不盈利不得分.，该项最高得30分。</w:t>
            </w:r>
          </w:p>
          <w:p w14:paraId="7171EBB4">
            <w:pPr>
              <w:tabs>
                <w:tab w:val="left" w:pos="210"/>
              </w:tabs>
              <w:spacing w:line="360" w:lineRule="auto"/>
              <w:rPr>
                <w:rFonts w:hint="eastAsia"/>
                <w:color w:val="auto"/>
                <w:sz w:val="24"/>
                <w:szCs w:val="24"/>
                <w:highlight w:val="none"/>
              </w:rPr>
            </w:pPr>
            <w:r>
              <w:rPr>
                <w:rFonts w:hint="eastAsia"/>
                <w:color w:val="auto"/>
                <w:sz w:val="24"/>
                <w:szCs w:val="24"/>
                <w:highlight w:val="none"/>
              </w:rPr>
              <w:t>（2）投标人在20</w:t>
            </w:r>
            <w:r>
              <w:rPr>
                <w:rFonts w:hint="eastAsia"/>
                <w:color w:val="auto"/>
                <w:sz w:val="24"/>
                <w:szCs w:val="24"/>
                <w:highlight w:val="none"/>
                <w:lang w:val="en-US" w:eastAsia="zh-CN"/>
              </w:rPr>
              <w:t>23</w:t>
            </w:r>
            <w:r>
              <w:rPr>
                <w:rFonts w:hint="eastAsia"/>
                <w:color w:val="auto"/>
                <w:sz w:val="24"/>
                <w:szCs w:val="24"/>
                <w:highlight w:val="none"/>
              </w:rPr>
              <w:t>年度的流动比率Y：2＞Y≥1.5的得30分，2.5＞Y≥2或1.5＞Y≥1的得15分，Y&lt;1或Y≥2.5不得分，该项最高得30分。</w:t>
            </w:r>
          </w:p>
          <w:p w14:paraId="5BB49A73">
            <w:pPr>
              <w:tabs>
                <w:tab w:val="left" w:pos="210"/>
              </w:tabs>
              <w:spacing w:line="360" w:lineRule="auto"/>
              <w:rPr>
                <w:rFonts w:hint="eastAsia"/>
                <w:color w:val="auto"/>
                <w:sz w:val="24"/>
                <w:szCs w:val="24"/>
                <w:highlight w:val="none"/>
              </w:rPr>
            </w:pPr>
            <w:r>
              <w:rPr>
                <w:rFonts w:hint="eastAsia"/>
                <w:color w:val="auto"/>
                <w:sz w:val="24"/>
                <w:szCs w:val="24"/>
                <w:highlight w:val="none"/>
              </w:rPr>
              <w:t>（3）投标人在202</w:t>
            </w:r>
            <w:r>
              <w:rPr>
                <w:rFonts w:hint="eastAsia"/>
                <w:color w:val="auto"/>
                <w:sz w:val="24"/>
                <w:szCs w:val="24"/>
                <w:highlight w:val="none"/>
                <w:lang w:val="en-US" w:eastAsia="zh-CN"/>
              </w:rPr>
              <w:t>3</w:t>
            </w:r>
            <w:r>
              <w:rPr>
                <w:rFonts w:hint="eastAsia"/>
                <w:color w:val="auto"/>
                <w:sz w:val="24"/>
                <w:szCs w:val="24"/>
                <w:highlight w:val="none"/>
              </w:rPr>
              <w:t>年度的净资产收益Z：40%＞Z</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9</w:t>
            </w:r>
            <w:r>
              <w:rPr>
                <w:rFonts w:hint="eastAsia" w:ascii="Times New Roman" w:hAnsi="Times New Roman" w:eastAsia="宋体" w:cs="Times New Roman"/>
                <w:color w:val="auto"/>
                <w:sz w:val="24"/>
                <w:szCs w:val="24"/>
                <w:highlight w:val="none"/>
              </w:rPr>
              <w:t>%的得</w:t>
            </w:r>
            <w:r>
              <w:rPr>
                <w:rFonts w:hint="eastAsia"/>
                <w:color w:val="auto"/>
                <w:sz w:val="24"/>
                <w:szCs w:val="24"/>
                <w:highlight w:val="none"/>
              </w:rPr>
              <w:t>40分，Z≥40%或Z＜</w:t>
            </w:r>
            <w:r>
              <w:rPr>
                <w:rFonts w:hint="eastAsia"/>
                <w:color w:val="auto"/>
                <w:sz w:val="24"/>
                <w:szCs w:val="24"/>
                <w:highlight w:val="none"/>
                <w:lang w:val="en-US" w:eastAsia="zh-CN"/>
              </w:rPr>
              <w:t>9</w:t>
            </w:r>
            <w:r>
              <w:rPr>
                <w:rFonts w:hint="eastAsia"/>
                <w:color w:val="auto"/>
                <w:sz w:val="24"/>
                <w:szCs w:val="24"/>
                <w:highlight w:val="none"/>
              </w:rPr>
              <w:t>%不得分，该项最高得40分。</w:t>
            </w:r>
          </w:p>
          <w:p w14:paraId="64EC309B">
            <w:pPr>
              <w:tabs>
                <w:tab w:val="left" w:pos="210"/>
              </w:tabs>
              <w:spacing w:line="360" w:lineRule="auto"/>
              <w:rPr>
                <w:rFonts w:ascii="宋体" w:hAnsi="宋体"/>
                <w:color w:val="auto"/>
                <w:sz w:val="24"/>
                <w:highlight w:val="none"/>
              </w:rPr>
            </w:pPr>
            <w:r>
              <w:rPr>
                <w:rFonts w:hint="eastAsia"/>
                <w:color w:val="auto"/>
                <w:sz w:val="24"/>
                <w:szCs w:val="24"/>
                <w:highlight w:val="none"/>
              </w:rPr>
              <w:t>评审依据：投标人提供银行资金存款证明材料；资产负</w:t>
            </w:r>
            <w:r>
              <w:rPr>
                <w:rFonts w:hint="eastAsia"/>
                <w:color w:val="auto"/>
                <w:sz w:val="24"/>
                <w:szCs w:val="24"/>
                <w:highlight w:val="none"/>
                <w:lang w:eastAsia="zh-CN"/>
              </w:rPr>
              <w:t>债</w:t>
            </w:r>
            <w:r>
              <w:rPr>
                <w:rFonts w:hint="eastAsia"/>
                <w:color w:val="auto"/>
                <w:sz w:val="24"/>
                <w:szCs w:val="24"/>
                <w:highlight w:val="none"/>
              </w:rPr>
              <w:t>率和净资产均需附经会计师事务所或审计机构审计的财务会计报表，包括资产负债表、现金流量表、利润表和财务情况说明书的扫描件证明以上财务能力。</w:t>
            </w:r>
          </w:p>
        </w:tc>
        <w:tc>
          <w:tcPr>
            <w:tcW w:w="804" w:type="dxa"/>
            <w:shd w:val="clear" w:color="auto" w:fill="auto"/>
            <w:vAlign w:val="center"/>
          </w:tcPr>
          <w:p w14:paraId="1181E3F3">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0-100</w:t>
            </w:r>
          </w:p>
        </w:tc>
        <w:tc>
          <w:tcPr>
            <w:tcW w:w="743" w:type="dxa"/>
            <w:vAlign w:val="center"/>
          </w:tcPr>
          <w:p w14:paraId="0A6C453E">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5%</w:t>
            </w:r>
          </w:p>
        </w:tc>
      </w:tr>
      <w:tr w14:paraId="6EA8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78" w:type="dxa"/>
            <w:vAlign w:val="center"/>
          </w:tcPr>
          <w:p w14:paraId="07ADC062">
            <w:pPr>
              <w:snapToGrid w:val="0"/>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3</w:t>
            </w:r>
          </w:p>
        </w:tc>
        <w:tc>
          <w:tcPr>
            <w:tcW w:w="1297" w:type="dxa"/>
            <w:vAlign w:val="center"/>
          </w:tcPr>
          <w:p w14:paraId="4922C3F0">
            <w:pPr>
              <w:snapToGrid w:val="0"/>
              <w:jc w:val="center"/>
              <w:rPr>
                <w:rFonts w:ascii="宋体" w:hAnsi="宋体"/>
                <w:color w:val="auto"/>
                <w:sz w:val="24"/>
                <w:highlight w:val="none"/>
              </w:rPr>
            </w:pPr>
            <w:r>
              <w:rPr>
                <w:rFonts w:hint="eastAsia"/>
                <w:color w:val="auto"/>
                <w:sz w:val="24"/>
                <w:szCs w:val="24"/>
                <w:highlight w:val="none"/>
              </w:rPr>
              <w:t>企业相关业绩</w:t>
            </w:r>
          </w:p>
        </w:tc>
        <w:tc>
          <w:tcPr>
            <w:tcW w:w="5891" w:type="dxa"/>
            <w:vAlign w:val="center"/>
          </w:tcPr>
          <w:p w14:paraId="71C3B7D8">
            <w:pPr>
              <w:tabs>
                <w:tab w:val="left" w:pos="210"/>
              </w:tabs>
              <w:spacing w:line="360" w:lineRule="auto"/>
              <w:ind w:firstLine="480" w:firstLineChars="200"/>
              <w:rPr>
                <w:rFonts w:hint="eastAsia" w:eastAsia="宋体"/>
                <w:color w:val="auto"/>
                <w:sz w:val="24"/>
                <w:szCs w:val="24"/>
                <w:highlight w:val="none"/>
                <w:lang w:val="en-US" w:eastAsia="zh-CN"/>
              </w:rPr>
            </w:pPr>
            <w:r>
              <w:rPr>
                <w:rFonts w:hint="eastAsia"/>
                <w:color w:val="auto"/>
                <w:sz w:val="24"/>
                <w:szCs w:val="24"/>
                <w:highlight w:val="none"/>
              </w:rPr>
              <w:t>企业相关业绩</w:t>
            </w:r>
            <w:r>
              <w:rPr>
                <w:rFonts w:hint="eastAsia"/>
                <w:color w:val="auto"/>
                <w:sz w:val="24"/>
                <w:szCs w:val="24"/>
                <w:highlight w:val="none"/>
                <w:lang w:eastAsia="zh-CN"/>
              </w:rPr>
              <w:t>：</w:t>
            </w:r>
            <w:r>
              <w:rPr>
                <w:rFonts w:hint="eastAsia"/>
                <w:color w:val="auto"/>
                <w:sz w:val="24"/>
                <w:szCs w:val="24"/>
                <w:highlight w:val="none"/>
              </w:rPr>
              <w:t>(1)自</w:t>
            </w:r>
            <w:r>
              <w:rPr>
                <w:rFonts w:hint="eastAsia"/>
                <w:color w:val="auto"/>
                <w:sz w:val="24"/>
                <w:szCs w:val="24"/>
                <w:highlight w:val="none"/>
                <w:lang w:eastAsia="zh-CN"/>
              </w:rPr>
              <w:t>202</w:t>
            </w:r>
            <w:r>
              <w:rPr>
                <w:rFonts w:hint="eastAsia"/>
                <w:color w:val="auto"/>
                <w:sz w:val="24"/>
                <w:szCs w:val="24"/>
                <w:highlight w:val="none"/>
                <w:lang w:val="en-US" w:eastAsia="zh-CN"/>
              </w:rPr>
              <w:t>2</w:t>
            </w:r>
            <w:r>
              <w:rPr>
                <w:rFonts w:hint="eastAsia"/>
                <w:color w:val="auto"/>
                <w:sz w:val="24"/>
                <w:szCs w:val="24"/>
                <w:highlight w:val="none"/>
                <w:lang w:eastAsia="zh-CN"/>
              </w:rPr>
              <w:t>年1月1日</w:t>
            </w:r>
            <w:r>
              <w:rPr>
                <w:rFonts w:hint="eastAsia"/>
                <w:color w:val="auto"/>
                <w:sz w:val="24"/>
                <w:szCs w:val="24"/>
                <w:highlight w:val="none"/>
              </w:rPr>
              <w:t>以来，独立完成以上的尾矿工程或矿山复垦施工业绩且合同额不低于</w:t>
            </w:r>
            <w:r>
              <w:rPr>
                <w:rFonts w:hint="eastAsia"/>
                <w:color w:val="auto"/>
                <w:sz w:val="24"/>
                <w:szCs w:val="24"/>
                <w:highlight w:val="none"/>
                <w:lang w:val="en-US" w:eastAsia="zh-CN"/>
              </w:rPr>
              <w:t>8</w:t>
            </w:r>
            <w:r>
              <w:rPr>
                <w:rFonts w:hint="eastAsia"/>
                <w:color w:val="auto"/>
                <w:sz w:val="24"/>
                <w:szCs w:val="24"/>
                <w:highlight w:val="none"/>
              </w:rPr>
              <w:t>00万元的工程总承包或施工总承包业绩，提供1个</w:t>
            </w:r>
            <w:r>
              <w:rPr>
                <w:rFonts w:hint="eastAsia" w:ascii="Times New Roman" w:hAnsi="Times New Roman" w:eastAsia="宋体" w:cs="Times New Roman"/>
                <w:color w:val="auto"/>
                <w:sz w:val="24"/>
                <w:szCs w:val="24"/>
                <w:highlight w:val="none"/>
              </w:rPr>
              <w:t>得</w:t>
            </w:r>
            <w:r>
              <w:rPr>
                <w:rFonts w:hint="eastAsia"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rPr>
              <w:t>0分，每增加1个加</w:t>
            </w:r>
            <w:r>
              <w:rPr>
                <w:rFonts w:hint="eastAsia"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rPr>
              <w:t>0分，</w:t>
            </w:r>
            <w:r>
              <w:rPr>
                <w:rFonts w:hint="eastAsia"/>
                <w:color w:val="auto"/>
                <w:sz w:val="24"/>
                <w:szCs w:val="24"/>
                <w:highlight w:val="none"/>
              </w:rPr>
              <w:t>本项最多得</w:t>
            </w:r>
            <w:r>
              <w:rPr>
                <w:rFonts w:hint="eastAsia"/>
                <w:color w:val="auto"/>
                <w:sz w:val="24"/>
                <w:szCs w:val="24"/>
                <w:highlight w:val="none"/>
                <w:lang w:val="en-US" w:eastAsia="zh-CN"/>
              </w:rPr>
              <w:t>8</w:t>
            </w:r>
            <w:r>
              <w:rPr>
                <w:rFonts w:hint="eastAsia"/>
                <w:color w:val="auto"/>
                <w:sz w:val="24"/>
                <w:szCs w:val="24"/>
                <w:highlight w:val="none"/>
              </w:rPr>
              <w:t>0分；（投标人业绩证明须提供中标通知书（如有）、施工合同、发票、用户证明或竣工验收报告。</w:t>
            </w:r>
          </w:p>
          <w:p w14:paraId="5EFAAB53">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评审依据：时间以单位工程竣工验收报告或单位工程质量竣工验收记录上的完工时间或竣工日期为准。提供中标通知书、合同扫描件、付款发票（与合同对应的1张发票）及国家税务总局发票查验平台查验结果截图、用户证明扫描件（或竣工验收报告）。</w:t>
            </w:r>
          </w:p>
          <w:p w14:paraId="6A9C9D9C">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(2) 自</w:t>
            </w:r>
            <w:r>
              <w:rPr>
                <w:rFonts w:hint="eastAsia"/>
                <w:color w:val="auto"/>
                <w:sz w:val="24"/>
                <w:szCs w:val="24"/>
                <w:highlight w:val="none"/>
                <w:lang w:eastAsia="zh-CN"/>
              </w:rPr>
              <w:t>202</w:t>
            </w:r>
            <w:r>
              <w:rPr>
                <w:rFonts w:hint="eastAsia"/>
                <w:color w:val="auto"/>
                <w:sz w:val="24"/>
                <w:szCs w:val="24"/>
                <w:highlight w:val="none"/>
                <w:lang w:val="en-US" w:eastAsia="zh-CN"/>
              </w:rPr>
              <w:t>2</w:t>
            </w:r>
            <w:r>
              <w:rPr>
                <w:rFonts w:hint="eastAsia"/>
                <w:color w:val="auto"/>
                <w:sz w:val="24"/>
                <w:szCs w:val="24"/>
                <w:highlight w:val="none"/>
                <w:lang w:eastAsia="zh-CN"/>
              </w:rPr>
              <w:t>年1月1日</w:t>
            </w:r>
            <w:r>
              <w:rPr>
                <w:rFonts w:hint="eastAsia"/>
                <w:color w:val="auto"/>
                <w:sz w:val="24"/>
                <w:szCs w:val="24"/>
                <w:highlight w:val="none"/>
              </w:rPr>
              <w:t>以来，完成</w:t>
            </w:r>
            <w:r>
              <w:rPr>
                <w:rFonts w:hint="eastAsia"/>
                <w:color w:val="auto"/>
                <w:sz w:val="24"/>
                <w:szCs w:val="24"/>
                <w:highlight w:val="none"/>
                <w:lang w:val="en-US" w:eastAsia="zh-CN"/>
              </w:rPr>
              <w:t>尾矿库闭库治理或绿色矿山</w:t>
            </w:r>
            <w:r>
              <w:rPr>
                <w:rFonts w:hint="eastAsia"/>
                <w:color w:val="auto"/>
                <w:sz w:val="24"/>
                <w:szCs w:val="24"/>
                <w:highlight w:val="none"/>
              </w:rPr>
              <w:t>建设工程</w:t>
            </w:r>
            <w:r>
              <w:rPr>
                <w:rFonts w:hint="eastAsia"/>
                <w:color w:val="auto"/>
                <w:sz w:val="24"/>
                <w:szCs w:val="24"/>
                <w:highlight w:val="none"/>
                <w:lang w:val="en-US" w:eastAsia="zh-CN"/>
              </w:rPr>
              <w:t>业绩</w:t>
            </w:r>
            <w:r>
              <w:rPr>
                <w:rFonts w:hint="eastAsia"/>
                <w:color w:val="auto"/>
                <w:sz w:val="24"/>
                <w:szCs w:val="24"/>
                <w:highlight w:val="none"/>
              </w:rPr>
              <w:t>，提供1个得10分，每增加1个加10分，本项最多得20分。</w:t>
            </w:r>
          </w:p>
          <w:p w14:paraId="6DD58FD4">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评审依据：时间以单位工程竣工验收报告或单位工程质量竣工验收记录上的完工时间或竣工日期为准。提供中标通知书、合同扫描件、采矿权许可证及查询截图、付款发票（与合同对应的1张发票）及国家税务总局发票查验平台查验结果截图等。</w:t>
            </w:r>
          </w:p>
          <w:p w14:paraId="1E2C9777">
            <w:pPr>
              <w:tabs>
                <w:tab w:val="left" w:pos="210"/>
              </w:tabs>
              <w:spacing w:line="360" w:lineRule="auto"/>
              <w:ind w:firstLine="480" w:firstLineChars="200"/>
              <w:rPr>
                <w:rFonts w:hint="default" w:eastAsia="宋体"/>
                <w:color w:val="auto"/>
                <w:sz w:val="24"/>
                <w:szCs w:val="24"/>
                <w:highlight w:val="none"/>
                <w:lang w:val="en-US" w:eastAsia="zh-CN"/>
              </w:rPr>
            </w:pPr>
            <w:r>
              <w:rPr>
                <w:rFonts w:hint="eastAsia"/>
                <w:color w:val="auto"/>
                <w:sz w:val="24"/>
                <w:szCs w:val="24"/>
                <w:highlight w:val="none"/>
                <w:lang w:eastAsia="zh-CN"/>
              </w:rPr>
              <w:t>（</w:t>
            </w:r>
            <w:r>
              <w:rPr>
                <w:rFonts w:hint="eastAsia"/>
                <w:color w:val="auto"/>
                <w:sz w:val="24"/>
                <w:szCs w:val="24"/>
                <w:highlight w:val="none"/>
                <w:lang w:val="en-US" w:eastAsia="zh-CN"/>
              </w:rPr>
              <w:t>1）（2）均满足，不得重复计分。</w:t>
            </w:r>
          </w:p>
        </w:tc>
        <w:tc>
          <w:tcPr>
            <w:tcW w:w="804" w:type="dxa"/>
            <w:shd w:val="clear" w:color="auto" w:fill="auto"/>
            <w:vAlign w:val="center"/>
          </w:tcPr>
          <w:p w14:paraId="1B93D563">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0-100</w:t>
            </w:r>
          </w:p>
        </w:tc>
        <w:tc>
          <w:tcPr>
            <w:tcW w:w="743" w:type="dxa"/>
            <w:vAlign w:val="center"/>
          </w:tcPr>
          <w:p w14:paraId="5C7E3C06">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15%</w:t>
            </w:r>
          </w:p>
        </w:tc>
      </w:tr>
      <w:tr w14:paraId="7E753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78" w:type="dxa"/>
            <w:vAlign w:val="center"/>
          </w:tcPr>
          <w:p w14:paraId="075E3D33">
            <w:pPr>
              <w:snapToGrid w:val="0"/>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4</w:t>
            </w:r>
          </w:p>
        </w:tc>
        <w:tc>
          <w:tcPr>
            <w:tcW w:w="1297" w:type="dxa"/>
            <w:vAlign w:val="center"/>
          </w:tcPr>
          <w:p w14:paraId="74B1C939">
            <w:pPr>
              <w:snapToGrid w:val="0"/>
              <w:jc w:val="center"/>
              <w:rPr>
                <w:rFonts w:ascii="宋体" w:hAnsi="宋体"/>
                <w:color w:val="auto"/>
                <w:sz w:val="24"/>
                <w:highlight w:val="none"/>
              </w:rPr>
            </w:pPr>
            <w:r>
              <w:rPr>
                <w:rFonts w:hint="eastAsia"/>
                <w:color w:val="auto"/>
                <w:sz w:val="24"/>
                <w:szCs w:val="24"/>
                <w:highlight w:val="none"/>
              </w:rPr>
              <w:t>企业荣誉及创新能力</w:t>
            </w:r>
          </w:p>
        </w:tc>
        <w:tc>
          <w:tcPr>
            <w:tcW w:w="5891" w:type="dxa"/>
            <w:vAlign w:val="center"/>
          </w:tcPr>
          <w:p w14:paraId="6D2536AF">
            <w:pPr>
              <w:tabs>
                <w:tab w:val="left" w:pos="210"/>
              </w:tabs>
              <w:spacing w:line="360" w:lineRule="auto"/>
              <w:ind w:firstLine="480" w:firstLineChars="200"/>
              <w:rPr>
                <w:rFonts w:hint="eastAsia" w:ascii="Calibri" w:hAnsi="Calibri" w:eastAsia="宋体" w:cs="Times New Roman"/>
                <w:color w:val="auto"/>
                <w:sz w:val="24"/>
                <w:szCs w:val="24"/>
                <w:highlight w:val="none"/>
              </w:rPr>
            </w:pPr>
            <w:r>
              <w:rPr>
                <w:rFonts w:hint="eastAsia"/>
                <w:color w:val="auto"/>
                <w:sz w:val="24"/>
                <w:szCs w:val="24"/>
                <w:highlight w:val="none"/>
              </w:rPr>
              <w:t>企业荣誉及创新能力</w:t>
            </w:r>
            <w:r>
              <w:rPr>
                <w:rFonts w:hint="eastAsia"/>
                <w:color w:val="auto"/>
                <w:sz w:val="24"/>
                <w:szCs w:val="24"/>
                <w:highlight w:val="none"/>
                <w:lang w:eastAsia="zh-CN"/>
              </w:rPr>
              <w:t>：</w:t>
            </w:r>
            <w:r>
              <w:rPr>
                <w:rFonts w:hint="eastAsia" w:ascii="Calibri" w:hAnsi="Calibri" w:eastAsia="宋体" w:cs="Times New Roman"/>
                <w:color w:val="auto"/>
                <w:sz w:val="24"/>
                <w:szCs w:val="24"/>
                <w:highlight w:val="none"/>
              </w:rPr>
              <w:t>（1）投标人自202</w:t>
            </w:r>
            <w:r>
              <w:rPr>
                <w:rFonts w:hint="eastAsia" w:cs="Times New Roman"/>
                <w:color w:val="auto"/>
                <w:sz w:val="24"/>
                <w:szCs w:val="24"/>
                <w:highlight w:val="none"/>
                <w:lang w:val="en-US" w:eastAsia="zh-CN"/>
              </w:rPr>
              <w:t>2</w:t>
            </w:r>
            <w:r>
              <w:rPr>
                <w:rFonts w:hint="eastAsia" w:ascii="Calibri" w:hAnsi="Calibri" w:eastAsia="宋体" w:cs="Times New Roman"/>
                <w:color w:val="auto"/>
                <w:sz w:val="24"/>
                <w:szCs w:val="24"/>
                <w:highlight w:val="none"/>
              </w:rPr>
              <w:t>年</w:t>
            </w:r>
            <w:r>
              <w:rPr>
                <w:rFonts w:hint="eastAsia" w:ascii="Calibri" w:hAnsi="Calibri" w:eastAsia="宋体" w:cs="Times New Roman"/>
                <w:color w:val="auto"/>
                <w:sz w:val="24"/>
                <w:szCs w:val="24"/>
                <w:highlight w:val="none"/>
                <w:lang w:val="en-US" w:eastAsia="zh-CN"/>
              </w:rPr>
              <w:t>1</w:t>
            </w:r>
            <w:r>
              <w:rPr>
                <w:rFonts w:hint="eastAsia" w:ascii="Calibri" w:hAnsi="Calibri" w:eastAsia="宋体" w:cs="Times New Roman"/>
                <w:color w:val="auto"/>
                <w:sz w:val="24"/>
                <w:szCs w:val="24"/>
                <w:highlight w:val="none"/>
              </w:rPr>
              <w:t>月1日以来</w:t>
            </w:r>
            <w:r>
              <w:rPr>
                <w:rFonts w:hint="eastAsia" w:ascii="Calibri" w:hAnsi="Calibri" w:eastAsia="宋体" w:cs="Times New Roman"/>
                <w:color w:val="auto"/>
                <w:sz w:val="24"/>
                <w:szCs w:val="24"/>
                <w:highlight w:val="none"/>
                <w:lang w:eastAsia="zh-CN"/>
              </w:rPr>
              <w:t>荣获</w:t>
            </w:r>
            <w:r>
              <w:rPr>
                <w:rFonts w:hint="eastAsia" w:ascii="Calibri" w:hAnsi="Calibri" w:eastAsia="宋体" w:cs="Times New Roman"/>
                <w:color w:val="auto"/>
                <w:sz w:val="24"/>
                <w:szCs w:val="24"/>
                <w:highlight w:val="none"/>
              </w:rPr>
              <w:t>过国家</w:t>
            </w:r>
            <w:r>
              <w:rPr>
                <w:rFonts w:hint="eastAsia" w:cs="Times New Roman"/>
                <w:color w:val="auto"/>
                <w:sz w:val="24"/>
                <w:szCs w:val="24"/>
                <w:highlight w:val="none"/>
                <w:lang w:val="en-US" w:eastAsia="zh-CN"/>
              </w:rPr>
              <w:t>奖项</w:t>
            </w:r>
            <w:r>
              <w:rPr>
                <w:rFonts w:hint="eastAsia" w:ascii="Calibri" w:hAnsi="Calibri" w:eastAsia="宋体" w:cs="Times New Roman"/>
                <w:color w:val="auto"/>
                <w:sz w:val="24"/>
                <w:szCs w:val="24"/>
                <w:highlight w:val="none"/>
              </w:rPr>
              <w:t>级得</w:t>
            </w:r>
            <w:r>
              <w:rPr>
                <w:rFonts w:hint="eastAsia" w:ascii="Calibri" w:hAnsi="Calibri" w:eastAsia="宋体" w:cs="Times New Roman"/>
                <w:color w:val="auto"/>
                <w:sz w:val="24"/>
                <w:szCs w:val="24"/>
                <w:highlight w:val="none"/>
                <w:lang w:val="en-US" w:eastAsia="zh-CN"/>
              </w:rPr>
              <w:t>40</w:t>
            </w:r>
            <w:r>
              <w:rPr>
                <w:rFonts w:hint="eastAsia" w:ascii="Calibri" w:hAnsi="Calibri" w:eastAsia="宋体" w:cs="Times New Roman"/>
                <w:color w:val="auto"/>
                <w:sz w:val="24"/>
                <w:szCs w:val="24"/>
                <w:highlight w:val="none"/>
              </w:rPr>
              <w:t>分</w:t>
            </w:r>
            <w:r>
              <w:rPr>
                <w:rFonts w:hint="eastAsia" w:cs="Times New Roman"/>
                <w:color w:val="auto"/>
                <w:sz w:val="24"/>
                <w:szCs w:val="24"/>
                <w:highlight w:val="none"/>
                <w:lang w:eastAsia="zh-CN"/>
              </w:rPr>
              <w:t>，</w:t>
            </w:r>
            <w:r>
              <w:rPr>
                <w:rFonts w:hint="eastAsia" w:ascii="Calibri" w:hAnsi="Calibri" w:eastAsia="宋体" w:cs="Times New Roman"/>
                <w:color w:val="auto"/>
                <w:sz w:val="24"/>
                <w:szCs w:val="24"/>
                <w:highlight w:val="none"/>
                <w:lang w:eastAsia="zh-CN"/>
              </w:rPr>
              <w:t>行业协会奖</w:t>
            </w:r>
            <w:r>
              <w:rPr>
                <w:rFonts w:hint="eastAsia" w:cs="Times New Roman"/>
                <w:color w:val="auto"/>
                <w:sz w:val="24"/>
                <w:szCs w:val="24"/>
                <w:highlight w:val="none"/>
                <w:lang w:val="en-US" w:eastAsia="zh-CN"/>
              </w:rPr>
              <w:t>项得30分</w:t>
            </w:r>
            <w:r>
              <w:rPr>
                <w:rFonts w:hint="eastAsia" w:ascii="Calibri" w:hAnsi="Calibri" w:eastAsia="宋体" w:cs="Times New Roman"/>
                <w:color w:val="auto"/>
                <w:sz w:val="24"/>
                <w:szCs w:val="24"/>
                <w:highlight w:val="none"/>
              </w:rPr>
              <w:t>，</w:t>
            </w:r>
            <w:r>
              <w:rPr>
                <w:rFonts w:hint="eastAsia" w:cs="Times New Roman"/>
                <w:color w:val="auto"/>
                <w:sz w:val="24"/>
                <w:szCs w:val="24"/>
                <w:highlight w:val="none"/>
                <w:lang w:val="en-US" w:eastAsia="zh-CN"/>
              </w:rPr>
              <w:t>省级奖项</w:t>
            </w:r>
            <w:r>
              <w:rPr>
                <w:rFonts w:hint="eastAsia" w:ascii="Calibri" w:hAnsi="Calibri" w:eastAsia="宋体" w:cs="Times New Roman"/>
                <w:color w:val="auto"/>
                <w:sz w:val="24"/>
                <w:szCs w:val="24"/>
                <w:highlight w:val="none"/>
                <w:lang w:eastAsia="zh-CN"/>
              </w:rPr>
              <w:t>得</w:t>
            </w:r>
            <w:r>
              <w:rPr>
                <w:rFonts w:hint="eastAsia" w:cs="Times New Roman"/>
                <w:color w:val="auto"/>
                <w:sz w:val="24"/>
                <w:szCs w:val="24"/>
                <w:highlight w:val="none"/>
                <w:lang w:val="en-US" w:eastAsia="zh-CN"/>
              </w:rPr>
              <w:t>20</w:t>
            </w:r>
            <w:r>
              <w:rPr>
                <w:rFonts w:hint="eastAsia" w:ascii="Calibri" w:hAnsi="Calibri" w:eastAsia="宋体" w:cs="Times New Roman"/>
                <w:color w:val="auto"/>
                <w:sz w:val="24"/>
                <w:szCs w:val="24"/>
                <w:highlight w:val="none"/>
                <w:lang w:val="en-US" w:eastAsia="zh-CN"/>
              </w:rPr>
              <w:t>分，</w:t>
            </w:r>
            <w:r>
              <w:rPr>
                <w:rFonts w:hint="eastAsia" w:ascii="Calibri" w:hAnsi="Calibri" w:eastAsia="宋体" w:cs="Times New Roman"/>
                <w:color w:val="auto"/>
                <w:sz w:val="24"/>
                <w:szCs w:val="24"/>
                <w:highlight w:val="none"/>
              </w:rPr>
              <w:t>该项最高得</w:t>
            </w:r>
            <w:r>
              <w:rPr>
                <w:rFonts w:hint="eastAsia" w:ascii="Calibri" w:hAnsi="Calibri" w:eastAsia="宋体" w:cs="Times New Roman"/>
                <w:color w:val="auto"/>
                <w:sz w:val="24"/>
                <w:szCs w:val="24"/>
                <w:highlight w:val="none"/>
                <w:lang w:val="en-US" w:eastAsia="zh-CN"/>
              </w:rPr>
              <w:t>80</w:t>
            </w:r>
            <w:r>
              <w:rPr>
                <w:rFonts w:hint="eastAsia" w:ascii="Calibri" w:hAnsi="Calibri" w:eastAsia="宋体" w:cs="Times New Roman"/>
                <w:color w:val="auto"/>
                <w:sz w:val="24"/>
                <w:szCs w:val="24"/>
                <w:highlight w:val="none"/>
              </w:rPr>
              <w:t>分。</w:t>
            </w:r>
          </w:p>
          <w:p w14:paraId="7D21F0CD">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（2）</w:t>
            </w:r>
            <w:r>
              <w:rPr>
                <w:rFonts w:hint="eastAsia"/>
                <w:color w:val="auto"/>
                <w:sz w:val="24"/>
                <w:szCs w:val="24"/>
                <w:highlight w:val="none"/>
                <w:lang w:eastAsia="zh-CN"/>
              </w:rPr>
              <w:t>202</w:t>
            </w:r>
            <w:r>
              <w:rPr>
                <w:rFonts w:hint="eastAsia"/>
                <w:color w:val="auto"/>
                <w:sz w:val="24"/>
                <w:szCs w:val="24"/>
                <w:highlight w:val="none"/>
                <w:lang w:val="en-US" w:eastAsia="zh-CN"/>
              </w:rPr>
              <w:t>2</w:t>
            </w:r>
            <w:r>
              <w:rPr>
                <w:rFonts w:hint="eastAsia"/>
                <w:color w:val="auto"/>
                <w:sz w:val="24"/>
                <w:szCs w:val="24"/>
                <w:highlight w:val="none"/>
                <w:lang w:eastAsia="zh-CN"/>
              </w:rPr>
              <w:t>年1月1日</w:t>
            </w:r>
            <w:r>
              <w:rPr>
                <w:rFonts w:hint="eastAsia"/>
                <w:color w:val="auto"/>
                <w:sz w:val="24"/>
                <w:szCs w:val="24"/>
                <w:highlight w:val="none"/>
              </w:rPr>
              <w:t>以来曾获得专利</w:t>
            </w:r>
            <w:r>
              <w:rPr>
                <w:rFonts w:hint="eastAsia"/>
                <w:color w:val="auto"/>
                <w:sz w:val="24"/>
                <w:szCs w:val="24"/>
                <w:highlight w:val="none"/>
                <w:lang w:val="en-US" w:eastAsia="zh-CN"/>
              </w:rPr>
              <w:t>或</w:t>
            </w:r>
            <w:r>
              <w:rPr>
                <w:rFonts w:hint="eastAsia"/>
                <w:color w:val="auto"/>
                <w:sz w:val="24"/>
                <w:szCs w:val="24"/>
                <w:highlight w:val="none"/>
              </w:rPr>
              <w:t>所承</w:t>
            </w:r>
            <w:r>
              <w:rPr>
                <w:rFonts w:hint="eastAsia"/>
                <w:color w:val="auto"/>
                <w:sz w:val="24"/>
                <w:szCs w:val="24"/>
                <w:highlight w:val="none"/>
                <w:lang w:val="en-US" w:eastAsia="zh-CN"/>
              </w:rPr>
              <w:t>尾矿库闭库</w:t>
            </w:r>
            <w:r>
              <w:rPr>
                <w:rFonts w:hint="eastAsia"/>
                <w:color w:val="auto"/>
                <w:sz w:val="24"/>
                <w:szCs w:val="24"/>
                <w:highlight w:val="none"/>
              </w:rPr>
              <w:t>工程</w:t>
            </w:r>
            <w:r>
              <w:rPr>
                <w:rFonts w:hint="eastAsia"/>
                <w:color w:val="auto"/>
                <w:sz w:val="24"/>
                <w:szCs w:val="24"/>
                <w:highlight w:val="none"/>
                <w:lang w:val="en-US" w:eastAsia="zh-CN"/>
              </w:rPr>
              <w:t>和</w:t>
            </w:r>
            <w:r>
              <w:rPr>
                <w:rFonts w:hint="eastAsia"/>
                <w:color w:val="auto"/>
                <w:sz w:val="24"/>
                <w:szCs w:val="24"/>
                <w:highlight w:val="none"/>
              </w:rPr>
              <w:t>金属非金属矿山建设项目施工中</w:t>
            </w:r>
            <w:r>
              <w:rPr>
                <w:rFonts w:hint="eastAsia"/>
                <w:color w:val="auto"/>
                <w:sz w:val="24"/>
                <w:szCs w:val="24"/>
                <w:highlight w:val="none"/>
                <w:lang w:val="en-US" w:eastAsia="zh-CN"/>
              </w:rPr>
              <w:t>获得过省</w:t>
            </w:r>
            <w:r>
              <w:rPr>
                <w:rFonts w:hint="eastAsia"/>
                <w:color w:val="auto"/>
                <w:sz w:val="24"/>
                <w:szCs w:val="24"/>
                <w:highlight w:val="none"/>
              </w:rPr>
              <w:t>部级工法每一项得</w:t>
            </w:r>
            <w:r>
              <w:rPr>
                <w:rFonts w:hint="eastAsia"/>
                <w:color w:val="auto"/>
                <w:sz w:val="24"/>
                <w:szCs w:val="24"/>
                <w:highlight w:val="none"/>
                <w:lang w:val="en-US" w:eastAsia="zh-CN"/>
              </w:rPr>
              <w:t>5</w:t>
            </w:r>
            <w:r>
              <w:rPr>
                <w:rFonts w:hint="eastAsia"/>
                <w:color w:val="auto"/>
                <w:sz w:val="24"/>
                <w:szCs w:val="24"/>
                <w:highlight w:val="none"/>
              </w:rPr>
              <w:t>分，本项最高</w:t>
            </w:r>
            <w:r>
              <w:rPr>
                <w:rFonts w:hint="eastAsia"/>
                <w:color w:val="auto"/>
                <w:sz w:val="24"/>
                <w:szCs w:val="24"/>
                <w:highlight w:val="none"/>
                <w:lang w:val="en-US" w:eastAsia="zh-CN"/>
              </w:rPr>
              <w:t>2</w:t>
            </w:r>
            <w:r>
              <w:rPr>
                <w:rFonts w:hint="eastAsia"/>
                <w:color w:val="auto"/>
                <w:sz w:val="24"/>
                <w:szCs w:val="24"/>
                <w:highlight w:val="none"/>
              </w:rPr>
              <w:t>0分。</w:t>
            </w:r>
          </w:p>
          <w:p w14:paraId="1CF900B0">
            <w:pPr>
              <w:tabs>
                <w:tab w:val="left" w:pos="210"/>
              </w:tabs>
              <w:spacing w:line="360" w:lineRule="auto"/>
              <w:rPr>
                <w:rFonts w:ascii="宋体" w:hAnsi="宋体"/>
                <w:color w:val="auto"/>
                <w:sz w:val="24"/>
                <w:highlight w:val="none"/>
              </w:rPr>
            </w:pPr>
            <w:r>
              <w:rPr>
                <w:rFonts w:hint="eastAsia"/>
                <w:color w:val="auto"/>
                <w:sz w:val="24"/>
                <w:szCs w:val="24"/>
                <w:highlight w:val="none"/>
              </w:rPr>
              <w:t>评审依据:投标人提供获奖证书或获奖文件复印件或扫描件，并加盖单位公章。</w:t>
            </w:r>
          </w:p>
        </w:tc>
        <w:tc>
          <w:tcPr>
            <w:tcW w:w="804" w:type="dxa"/>
            <w:shd w:val="clear" w:color="auto" w:fill="auto"/>
            <w:vAlign w:val="center"/>
          </w:tcPr>
          <w:p w14:paraId="36D1C62B">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0-100</w:t>
            </w:r>
          </w:p>
        </w:tc>
        <w:tc>
          <w:tcPr>
            <w:tcW w:w="743" w:type="dxa"/>
            <w:vAlign w:val="center"/>
          </w:tcPr>
          <w:p w14:paraId="64C1D8A6">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8%</w:t>
            </w:r>
          </w:p>
        </w:tc>
      </w:tr>
      <w:tr w14:paraId="15AD2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78" w:type="dxa"/>
            <w:vAlign w:val="center"/>
          </w:tcPr>
          <w:p w14:paraId="5A8A1BCE">
            <w:pPr>
              <w:snapToGrid w:val="0"/>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5</w:t>
            </w:r>
          </w:p>
        </w:tc>
        <w:tc>
          <w:tcPr>
            <w:tcW w:w="1297" w:type="dxa"/>
            <w:vAlign w:val="center"/>
          </w:tcPr>
          <w:p w14:paraId="5D88F117">
            <w:pPr>
              <w:snapToGrid w:val="0"/>
              <w:jc w:val="center"/>
              <w:rPr>
                <w:rFonts w:ascii="宋体" w:hAnsi="宋体"/>
                <w:color w:val="auto"/>
                <w:sz w:val="24"/>
                <w:highlight w:val="none"/>
              </w:rPr>
            </w:pPr>
            <w:r>
              <w:rPr>
                <w:rFonts w:hint="eastAsia" w:ascii="宋体" w:hAnsi="宋体" w:cs="宋体"/>
                <w:color w:val="auto"/>
                <w:sz w:val="24"/>
                <w:szCs w:val="24"/>
                <w:highlight w:val="none"/>
              </w:rPr>
              <w:t>工程分析</w:t>
            </w:r>
          </w:p>
        </w:tc>
        <w:tc>
          <w:tcPr>
            <w:tcW w:w="5891" w:type="dxa"/>
            <w:vAlign w:val="center"/>
          </w:tcPr>
          <w:p w14:paraId="1562750D">
            <w:pPr>
              <w:tabs>
                <w:tab w:val="left" w:pos="210"/>
              </w:tabs>
              <w:spacing w:line="360" w:lineRule="auto"/>
              <w:rPr>
                <w:color w:val="auto"/>
                <w:sz w:val="24"/>
                <w:szCs w:val="24"/>
                <w:highlight w:val="none"/>
              </w:rPr>
            </w:pPr>
            <w:r>
              <w:rPr>
                <w:rFonts w:hint="eastAsia" w:ascii="宋体" w:hAnsi="宋体" w:cs="宋体"/>
                <w:color w:val="auto"/>
                <w:sz w:val="24"/>
                <w:szCs w:val="24"/>
                <w:highlight w:val="none"/>
              </w:rPr>
              <w:t>工程分析</w:t>
            </w:r>
            <w:r>
              <w:rPr>
                <w:rFonts w:hint="eastAsia" w:ascii="宋体" w:hAnsi="宋体" w:cs="宋体"/>
                <w:color w:val="auto"/>
                <w:sz w:val="24"/>
                <w:szCs w:val="24"/>
                <w:highlight w:val="none"/>
                <w:lang w:eastAsia="zh-CN"/>
              </w:rPr>
              <w:t>：</w:t>
            </w:r>
            <w:r>
              <w:rPr>
                <w:rFonts w:hint="eastAsia"/>
                <w:color w:val="auto"/>
                <w:sz w:val="24"/>
                <w:szCs w:val="24"/>
                <w:highlight w:val="none"/>
              </w:rPr>
              <w:t>a.投标文件中工程分析方案，针对分析工程的施工特点、难点要求准确且有针对性的，得70-100分；</w:t>
            </w:r>
          </w:p>
          <w:p w14:paraId="16CD5AD4">
            <w:pPr>
              <w:tabs>
                <w:tab w:val="left" w:pos="210"/>
              </w:tabs>
              <w:spacing w:line="360" w:lineRule="auto"/>
              <w:rPr>
                <w:color w:val="auto"/>
                <w:sz w:val="24"/>
                <w:szCs w:val="24"/>
                <w:highlight w:val="none"/>
              </w:rPr>
            </w:pPr>
            <w:r>
              <w:rPr>
                <w:rFonts w:hint="eastAsia"/>
                <w:color w:val="auto"/>
                <w:sz w:val="24"/>
                <w:szCs w:val="24"/>
                <w:highlight w:val="none"/>
              </w:rPr>
              <w:t>b.投标文件中工程分析方案，针对分析工程的施工特点、难点要求基本准确且有针对性的，得30-60分；</w:t>
            </w:r>
          </w:p>
          <w:p w14:paraId="5D2035A7">
            <w:pPr>
              <w:tabs>
                <w:tab w:val="left" w:pos="210"/>
              </w:tabs>
              <w:spacing w:line="360" w:lineRule="auto"/>
              <w:rPr>
                <w:color w:val="auto"/>
                <w:sz w:val="24"/>
                <w:szCs w:val="24"/>
                <w:highlight w:val="none"/>
              </w:rPr>
            </w:pPr>
            <w:r>
              <w:rPr>
                <w:rFonts w:hint="eastAsia"/>
                <w:color w:val="auto"/>
                <w:sz w:val="24"/>
                <w:szCs w:val="24"/>
                <w:highlight w:val="none"/>
              </w:rPr>
              <w:t>c.投标文件中工程分析方案，针对分析工程的施工特点、难点要求稍差的，得10-20分；</w:t>
            </w:r>
          </w:p>
          <w:p w14:paraId="5ED2145E">
            <w:pPr>
              <w:tabs>
                <w:tab w:val="left" w:pos="210"/>
              </w:tabs>
              <w:spacing w:line="360" w:lineRule="auto"/>
              <w:rPr>
                <w:rFonts w:hint="eastAsia"/>
                <w:color w:val="auto"/>
                <w:sz w:val="24"/>
                <w:szCs w:val="24"/>
                <w:highlight w:val="none"/>
              </w:rPr>
            </w:pPr>
            <w:r>
              <w:rPr>
                <w:rFonts w:hint="eastAsia"/>
                <w:color w:val="auto"/>
                <w:sz w:val="24"/>
                <w:szCs w:val="24"/>
                <w:highlight w:val="none"/>
              </w:rPr>
              <w:t>d.投标文件中未提供工程分析方案的，不得分。</w:t>
            </w:r>
          </w:p>
          <w:p w14:paraId="3240B44B">
            <w:pPr>
              <w:snapToGrid w:val="0"/>
              <w:jc w:val="left"/>
              <w:rPr>
                <w:rFonts w:ascii="宋体" w:hAnsi="宋体"/>
                <w:color w:val="auto"/>
                <w:sz w:val="24"/>
                <w:highlight w:val="none"/>
              </w:rPr>
            </w:pPr>
          </w:p>
        </w:tc>
        <w:tc>
          <w:tcPr>
            <w:tcW w:w="804" w:type="dxa"/>
            <w:shd w:val="clear" w:color="auto" w:fill="auto"/>
            <w:vAlign w:val="center"/>
          </w:tcPr>
          <w:p w14:paraId="208C3039">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0-100</w:t>
            </w:r>
          </w:p>
        </w:tc>
        <w:tc>
          <w:tcPr>
            <w:tcW w:w="743" w:type="dxa"/>
            <w:vAlign w:val="center"/>
          </w:tcPr>
          <w:p w14:paraId="0356D1DD">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4%</w:t>
            </w:r>
          </w:p>
        </w:tc>
      </w:tr>
      <w:tr w14:paraId="2C297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78" w:type="dxa"/>
            <w:vAlign w:val="center"/>
          </w:tcPr>
          <w:p w14:paraId="6B1E31BE">
            <w:pPr>
              <w:snapToGrid w:val="0"/>
              <w:jc w:val="center"/>
              <w:rPr>
                <w:rFonts w:hint="default" w:ascii="宋体" w:hAnsi="宋体"/>
                <w:color w:val="auto"/>
                <w:sz w:val="24"/>
                <w:highlight w:val="none"/>
                <w:lang w:val="en-US" w:eastAsia="zh-CN"/>
              </w:rPr>
            </w:pPr>
            <w:r>
              <w:rPr>
                <w:rFonts w:hint="eastAsia" w:ascii="宋体" w:hAnsi="宋体"/>
                <w:color w:val="auto"/>
                <w:sz w:val="24"/>
                <w:highlight w:val="none"/>
                <w:lang w:val="en-US" w:eastAsia="zh-CN"/>
              </w:rPr>
              <w:t>6</w:t>
            </w:r>
          </w:p>
        </w:tc>
        <w:tc>
          <w:tcPr>
            <w:tcW w:w="1297" w:type="dxa"/>
            <w:vAlign w:val="center"/>
          </w:tcPr>
          <w:p w14:paraId="3343298C">
            <w:pPr>
              <w:snapToGrid w:val="0"/>
              <w:jc w:val="center"/>
              <w:rPr>
                <w:rFonts w:ascii="宋体" w:hAnsi="宋体"/>
                <w:color w:val="auto"/>
                <w:sz w:val="24"/>
                <w:highlight w:val="none"/>
              </w:rPr>
            </w:pPr>
            <w:r>
              <w:rPr>
                <w:rFonts w:hint="eastAsia" w:ascii="宋体" w:hAnsi="宋体" w:cs="宋体"/>
                <w:color w:val="auto"/>
                <w:sz w:val="24"/>
                <w:szCs w:val="24"/>
                <w:highlight w:val="none"/>
              </w:rPr>
              <w:t>施工平面图布置</w:t>
            </w:r>
          </w:p>
        </w:tc>
        <w:tc>
          <w:tcPr>
            <w:tcW w:w="5891" w:type="dxa"/>
            <w:vAlign w:val="center"/>
          </w:tcPr>
          <w:p w14:paraId="27840F1C">
            <w:pPr>
              <w:tabs>
                <w:tab w:val="left" w:pos="210"/>
              </w:tabs>
              <w:spacing w:line="360" w:lineRule="auto"/>
              <w:rPr>
                <w:color w:val="auto"/>
                <w:sz w:val="24"/>
                <w:szCs w:val="24"/>
                <w:highlight w:val="none"/>
              </w:rPr>
            </w:pPr>
            <w:r>
              <w:rPr>
                <w:rFonts w:hint="eastAsia" w:ascii="宋体" w:hAnsi="宋体" w:cs="宋体"/>
                <w:color w:val="auto"/>
                <w:sz w:val="24"/>
                <w:szCs w:val="24"/>
                <w:highlight w:val="none"/>
              </w:rPr>
              <w:t>施工平面图布置</w:t>
            </w:r>
            <w:r>
              <w:rPr>
                <w:rFonts w:hint="eastAsia" w:ascii="宋体" w:hAnsi="宋体" w:cs="宋体"/>
                <w:color w:val="auto"/>
                <w:sz w:val="24"/>
                <w:szCs w:val="24"/>
                <w:highlight w:val="none"/>
                <w:lang w:eastAsia="zh-CN"/>
              </w:rPr>
              <w:t>：</w:t>
            </w:r>
            <w:r>
              <w:rPr>
                <w:rFonts w:hint="eastAsia"/>
                <w:color w:val="auto"/>
                <w:sz w:val="24"/>
                <w:szCs w:val="24"/>
                <w:highlight w:val="none"/>
              </w:rPr>
              <w:t>a.投标文件中施工平面图布置表达内容完整、表述准确，布置科学、合理的，得70-100分；</w:t>
            </w:r>
          </w:p>
          <w:p w14:paraId="20DE82D0">
            <w:pPr>
              <w:tabs>
                <w:tab w:val="left" w:pos="210"/>
              </w:tabs>
              <w:spacing w:line="360" w:lineRule="auto"/>
              <w:rPr>
                <w:color w:val="auto"/>
                <w:sz w:val="24"/>
                <w:szCs w:val="24"/>
                <w:highlight w:val="none"/>
              </w:rPr>
            </w:pPr>
            <w:r>
              <w:rPr>
                <w:rFonts w:hint="eastAsia"/>
                <w:color w:val="auto"/>
                <w:sz w:val="24"/>
                <w:szCs w:val="24"/>
                <w:highlight w:val="none"/>
              </w:rPr>
              <w:t>b.投标文件中施工平面图布置表达内容基本完整、基本表述准确，基本布置科学、合理的，得30-60分；</w:t>
            </w:r>
          </w:p>
          <w:p w14:paraId="182D8C95">
            <w:pPr>
              <w:tabs>
                <w:tab w:val="left" w:pos="210"/>
              </w:tabs>
              <w:spacing w:line="360" w:lineRule="auto"/>
              <w:rPr>
                <w:color w:val="auto"/>
                <w:sz w:val="24"/>
                <w:szCs w:val="24"/>
                <w:highlight w:val="none"/>
              </w:rPr>
            </w:pPr>
            <w:r>
              <w:rPr>
                <w:rFonts w:hint="eastAsia"/>
                <w:color w:val="auto"/>
                <w:sz w:val="24"/>
                <w:szCs w:val="24"/>
                <w:highlight w:val="none"/>
              </w:rPr>
              <w:t>c.投标文件中施工平面图布置表达内容稍差的，得10-20分；</w:t>
            </w:r>
          </w:p>
          <w:p w14:paraId="79E775BD">
            <w:pPr>
              <w:tabs>
                <w:tab w:val="left" w:pos="210"/>
              </w:tabs>
              <w:spacing w:line="360" w:lineRule="auto"/>
              <w:rPr>
                <w:rFonts w:ascii="宋体" w:hAnsi="宋体"/>
                <w:color w:val="auto"/>
                <w:sz w:val="24"/>
                <w:highlight w:val="none"/>
              </w:rPr>
            </w:pPr>
            <w:r>
              <w:rPr>
                <w:rFonts w:hint="eastAsia"/>
                <w:color w:val="auto"/>
                <w:sz w:val="24"/>
                <w:szCs w:val="24"/>
                <w:highlight w:val="none"/>
              </w:rPr>
              <w:t>d.投标文件中未提供施工平面图布置方案的，不得分。</w:t>
            </w:r>
          </w:p>
        </w:tc>
        <w:tc>
          <w:tcPr>
            <w:tcW w:w="804" w:type="dxa"/>
            <w:shd w:val="clear" w:color="auto" w:fill="auto"/>
            <w:vAlign w:val="center"/>
          </w:tcPr>
          <w:p w14:paraId="1F8DE243">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0-100</w:t>
            </w:r>
          </w:p>
        </w:tc>
        <w:tc>
          <w:tcPr>
            <w:tcW w:w="743" w:type="dxa"/>
            <w:vAlign w:val="center"/>
          </w:tcPr>
          <w:p w14:paraId="60148A11">
            <w:pPr>
              <w:snapToGrid w:val="0"/>
              <w:spacing w:line="400" w:lineRule="exact"/>
              <w:jc w:val="center"/>
              <w:rPr>
                <w:rFonts w:hint="eastAsia" w:hAnsi="宋体"/>
                <w:color w:val="auto"/>
                <w:sz w:val="24"/>
                <w:highlight w:val="none"/>
                <w:lang w:val="en-US" w:eastAsia="zh-CN"/>
              </w:rPr>
            </w:pPr>
            <w:r>
              <w:rPr>
                <w:rFonts w:hint="eastAsia" w:hAnsi="宋体"/>
                <w:color w:val="auto"/>
                <w:sz w:val="24"/>
                <w:highlight w:val="none"/>
                <w:lang w:val="en-US" w:eastAsia="zh-CN"/>
              </w:rPr>
              <w:t>4%</w:t>
            </w:r>
          </w:p>
        </w:tc>
      </w:tr>
      <w:tr w14:paraId="4762D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78" w:type="dxa"/>
            <w:vAlign w:val="center"/>
          </w:tcPr>
          <w:p w14:paraId="27A2EA5E">
            <w:pPr>
              <w:snapToGrid w:val="0"/>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7</w:t>
            </w:r>
          </w:p>
        </w:tc>
        <w:tc>
          <w:tcPr>
            <w:tcW w:w="1297" w:type="dxa"/>
            <w:vAlign w:val="center"/>
          </w:tcPr>
          <w:p w14:paraId="29F2B5CF">
            <w:pPr>
              <w:snapToGrid w:val="0"/>
              <w:jc w:val="center"/>
              <w:rPr>
                <w:rFonts w:ascii="宋体" w:hAnsi="宋体"/>
                <w:color w:val="auto"/>
                <w:sz w:val="24"/>
                <w:highlight w:val="none"/>
              </w:rPr>
            </w:pPr>
            <w:r>
              <w:rPr>
                <w:rFonts w:hint="eastAsia" w:ascii="宋体" w:hAnsi="宋体" w:cs="宋体"/>
                <w:color w:val="auto"/>
                <w:sz w:val="24"/>
                <w:szCs w:val="24"/>
                <w:highlight w:val="none"/>
              </w:rPr>
              <w:t>施工方案</w:t>
            </w:r>
          </w:p>
        </w:tc>
        <w:tc>
          <w:tcPr>
            <w:tcW w:w="5891" w:type="dxa"/>
            <w:vAlign w:val="center"/>
          </w:tcPr>
          <w:p w14:paraId="4B5C9850">
            <w:pPr>
              <w:tabs>
                <w:tab w:val="left" w:pos="210"/>
              </w:tabs>
              <w:spacing w:line="360" w:lineRule="auto"/>
              <w:rPr>
                <w:color w:val="auto"/>
                <w:sz w:val="24"/>
                <w:szCs w:val="24"/>
                <w:highlight w:val="none"/>
              </w:rPr>
            </w:pPr>
            <w:r>
              <w:rPr>
                <w:rFonts w:hint="eastAsia" w:ascii="宋体" w:hAnsi="宋体" w:cs="宋体"/>
                <w:color w:val="auto"/>
                <w:sz w:val="24"/>
                <w:szCs w:val="24"/>
                <w:highlight w:val="none"/>
              </w:rPr>
              <w:t>施工方案</w:t>
            </w:r>
            <w:r>
              <w:rPr>
                <w:rFonts w:hint="eastAsia" w:ascii="宋体" w:hAnsi="宋体" w:cs="宋体"/>
                <w:color w:val="auto"/>
                <w:sz w:val="24"/>
                <w:szCs w:val="24"/>
                <w:highlight w:val="none"/>
                <w:lang w:eastAsia="zh-CN"/>
              </w:rPr>
              <w:t>：</w:t>
            </w:r>
            <w:r>
              <w:rPr>
                <w:rFonts w:hint="eastAsia"/>
                <w:color w:val="auto"/>
                <w:sz w:val="24"/>
                <w:szCs w:val="24"/>
                <w:highlight w:val="none"/>
              </w:rPr>
              <w:t>a.投标文件中施工方案内各主要分部分项工程施工工艺）、BIM和智慧工地专项方案可行合理；施工主要工序阐述全面、合理；主要工种施工方法得当；考察施工方案整体经济、实用、合理、完善的，得70-100分；</w:t>
            </w:r>
          </w:p>
          <w:p w14:paraId="448D1CDE">
            <w:pPr>
              <w:tabs>
                <w:tab w:val="left" w:pos="210"/>
              </w:tabs>
              <w:spacing w:line="360" w:lineRule="auto"/>
              <w:rPr>
                <w:color w:val="auto"/>
                <w:sz w:val="24"/>
                <w:szCs w:val="24"/>
                <w:highlight w:val="none"/>
              </w:rPr>
            </w:pPr>
            <w:r>
              <w:rPr>
                <w:rFonts w:hint="eastAsia"/>
                <w:color w:val="auto"/>
                <w:sz w:val="24"/>
                <w:szCs w:val="24"/>
                <w:highlight w:val="none"/>
              </w:rPr>
              <w:t>b.投标文件中施工方案内各主要分部分项工程施工工艺、BIM和智慧工地专项方案基本可行合理；施工主要工序阐述基本全面、合理；主要工种施工方法基本得当；考察施工方案整体基本经济、实用、合理、完善的，得30-60分；</w:t>
            </w:r>
          </w:p>
          <w:p w14:paraId="41E70B1A">
            <w:pPr>
              <w:tabs>
                <w:tab w:val="left" w:pos="210"/>
              </w:tabs>
              <w:spacing w:line="360" w:lineRule="auto"/>
              <w:rPr>
                <w:color w:val="auto"/>
                <w:sz w:val="24"/>
                <w:szCs w:val="24"/>
                <w:highlight w:val="none"/>
              </w:rPr>
            </w:pPr>
            <w:r>
              <w:rPr>
                <w:rFonts w:hint="eastAsia"/>
                <w:color w:val="auto"/>
                <w:sz w:val="24"/>
                <w:szCs w:val="24"/>
                <w:highlight w:val="none"/>
              </w:rPr>
              <w:t>c.投标文件中施工方案内各主要分部分项工程施工工艺、BIM和智慧工地专项方案稍差的；施工主要工序阐述稍差的；主要工种施工方法稍差的；考察施工方案整体稍差</w:t>
            </w:r>
            <w:r>
              <w:rPr>
                <w:rFonts w:hint="eastAsia"/>
                <w:color w:val="auto"/>
                <w:sz w:val="24"/>
                <w:szCs w:val="24"/>
                <w:highlight w:val="none"/>
                <w:lang w:eastAsia="zh-CN"/>
              </w:rPr>
              <w:t>的</w:t>
            </w:r>
            <w:r>
              <w:rPr>
                <w:rFonts w:hint="eastAsia"/>
                <w:color w:val="auto"/>
                <w:sz w:val="24"/>
                <w:szCs w:val="24"/>
                <w:highlight w:val="none"/>
              </w:rPr>
              <w:t>，得10-20分；</w:t>
            </w:r>
          </w:p>
          <w:p w14:paraId="77FAF258">
            <w:pPr>
              <w:tabs>
                <w:tab w:val="left" w:pos="210"/>
              </w:tabs>
              <w:spacing w:line="360" w:lineRule="auto"/>
              <w:rPr>
                <w:rFonts w:ascii="宋体" w:hAnsi="宋体"/>
                <w:color w:val="auto"/>
                <w:sz w:val="24"/>
                <w:highlight w:val="none"/>
              </w:rPr>
            </w:pPr>
            <w:r>
              <w:rPr>
                <w:rFonts w:hint="eastAsia"/>
                <w:color w:val="auto"/>
                <w:sz w:val="24"/>
                <w:szCs w:val="24"/>
                <w:highlight w:val="none"/>
              </w:rPr>
              <w:t>d.投标文件中未提供施工方案的，不得分。</w:t>
            </w:r>
          </w:p>
        </w:tc>
        <w:tc>
          <w:tcPr>
            <w:tcW w:w="804" w:type="dxa"/>
            <w:shd w:val="clear" w:color="auto" w:fill="auto"/>
            <w:vAlign w:val="center"/>
          </w:tcPr>
          <w:p w14:paraId="6F971AE2">
            <w:pPr>
              <w:snapToGrid w:val="0"/>
              <w:spacing w:line="400" w:lineRule="exact"/>
              <w:jc w:val="center"/>
              <w:rPr>
                <w:rFonts w:hint="eastAsia" w:ascii="宋体" w:hAnsi="宋体" w:eastAsia="宋体" w:cs="宋体"/>
                <w:color w:val="auto"/>
                <w:kern w:val="2"/>
                <w:sz w:val="24"/>
                <w:szCs w:val="24"/>
                <w:highlight w:val="none"/>
                <w:lang w:val="en-US" w:eastAsia="zh-CN" w:bidi="ar-SA"/>
              </w:rPr>
            </w:pPr>
            <w:r>
              <w:rPr>
                <w:rFonts w:hint="eastAsia" w:hAnsi="宋体"/>
                <w:color w:val="auto"/>
                <w:sz w:val="24"/>
                <w:highlight w:val="none"/>
                <w:lang w:val="en-US" w:eastAsia="zh-CN"/>
              </w:rPr>
              <w:t>0-100</w:t>
            </w:r>
          </w:p>
        </w:tc>
        <w:tc>
          <w:tcPr>
            <w:tcW w:w="743" w:type="dxa"/>
            <w:vAlign w:val="center"/>
          </w:tcPr>
          <w:p w14:paraId="360AAE82">
            <w:pPr>
              <w:snapToGrid w:val="0"/>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10%</w:t>
            </w:r>
          </w:p>
        </w:tc>
      </w:tr>
      <w:tr w14:paraId="46FEF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78" w:type="dxa"/>
            <w:vAlign w:val="center"/>
          </w:tcPr>
          <w:p w14:paraId="31CB4899">
            <w:pPr>
              <w:snapToGrid w:val="0"/>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8</w:t>
            </w:r>
          </w:p>
        </w:tc>
        <w:tc>
          <w:tcPr>
            <w:tcW w:w="1297" w:type="dxa"/>
            <w:vAlign w:val="center"/>
          </w:tcPr>
          <w:p w14:paraId="309C5E9C">
            <w:pPr>
              <w:snapToGrid w:val="0"/>
              <w:jc w:val="center"/>
              <w:rPr>
                <w:rFonts w:ascii="宋体" w:hAnsi="宋体"/>
                <w:color w:val="auto"/>
                <w:sz w:val="24"/>
                <w:highlight w:val="none"/>
              </w:rPr>
            </w:pPr>
            <w:r>
              <w:rPr>
                <w:rFonts w:hint="eastAsia" w:ascii="宋体" w:hAnsi="宋体" w:cs="宋体"/>
                <w:color w:val="auto"/>
                <w:sz w:val="24"/>
                <w:szCs w:val="24"/>
                <w:highlight w:val="none"/>
              </w:rPr>
              <w:t>施工进度计划及工期保证措施</w:t>
            </w:r>
          </w:p>
        </w:tc>
        <w:tc>
          <w:tcPr>
            <w:tcW w:w="5891" w:type="dxa"/>
            <w:vAlign w:val="center"/>
          </w:tcPr>
          <w:p w14:paraId="393CC72D">
            <w:pPr>
              <w:tabs>
                <w:tab w:val="left" w:pos="210"/>
              </w:tabs>
              <w:spacing w:line="360" w:lineRule="auto"/>
              <w:rPr>
                <w:color w:val="auto"/>
                <w:sz w:val="24"/>
                <w:szCs w:val="24"/>
                <w:highlight w:val="none"/>
              </w:rPr>
            </w:pPr>
            <w:r>
              <w:rPr>
                <w:rFonts w:hint="eastAsia" w:ascii="宋体" w:hAnsi="宋体" w:cs="宋体"/>
                <w:color w:val="auto"/>
                <w:sz w:val="24"/>
                <w:szCs w:val="24"/>
                <w:highlight w:val="none"/>
              </w:rPr>
              <w:t>施工进度计划及工期保证措施</w:t>
            </w:r>
            <w:r>
              <w:rPr>
                <w:rFonts w:hint="eastAsia" w:ascii="宋体" w:hAnsi="宋体" w:cs="宋体"/>
                <w:color w:val="auto"/>
                <w:sz w:val="24"/>
                <w:szCs w:val="24"/>
                <w:highlight w:val="none"/>
                <w:lang w:eastAsia="zh-CN"/>
              </w:rPr>
              <w:t>：</w:t>
            </w:r>
            <w:r>
              <w:rPr>
                <w:rFonts w:hint="eastAsia"/>
                <w:color w:val="auto"/>
                <w:sz w:val="24"/>
                <w:szCs w:val="24"/>
                <w:highlight w:val="none"/>
              </w:rPr>
              <w:t>a.投标文件中施工进度计划合理、可行性强的，施工进度计划严格按投标工期安排，工序搭配逻辑关系和关键线路清晰、合理；工期保证措施合理且有针对性，违约责任承诺具体、有效，可行性强的，得70-100分；</w:t>
            </w:r>
          </w:p>
          <w:p w14:paraId="3106CD89">
            <w:pPr>
              <w:tabs>
                <w:tab w:val="left" w:pos="210"/>
              </w:tabs>
              <w:spacing w:line="360" w:lineRule="auto"/>
              <w:rPr>
                <w:color w:val="auto"/>
                <w:sz w:val="24"/>
                <w:szCs w:val="24"/>
                <w:highlight w:val="none"/>
              </w:rPr>
            </w:pPr>
            <w:r>
              <w:rPr>
                <w:rFonts w:hint="eastAsia"/>
                <w:color w:val="auto"/>
                <w:sz w:val="24"/>
                <w:szCs w:val="24"/>
                <w:highlight w:val="none"/>
              </w:rPr>
              <w:t>b.投标文件中施工进度计划基本合理、基本可行的，施工进度计划基本按投标工期安排，工序搭配逻辑关系和关键线路基本清晰、基本合理；工期保证措施基本合理且基本有针对性，违约责任承诺基本有效，基本可行的，得30-60分；</w:t>
            </w:r>
          </w:p>
          <w:p w14:paraId="5EE663E1">
            <w:pPr>
              <w:tabs>
                <w:tab w:val="left" w:pos="210"/>
              </w:tabs>
              <w:spacing w:line="360" w:lineRule="auto"/>
              <w:rPr>
                <w:color w:val="auto"/>
                <w:sz w:val="24"/>
                <w:szCs w:val="24"/>
                <w:highlight w:val="none"/>
              </w:rPr>
            </w:pPr>
            <w:r>
              <w:rPr>
                <w:rFonts w:hint="eastAsia"/>
                <w:color w:val="auto"/>
                <w:sz w:val="24"/>
                <w:szCs w:val="24"/>
                <w:highlight w:val="none"/>
              </w:rPr>
              <w:t>c. 投标文件中施工进度计划稍差的，施工进度计划，工序搭配逻辑关系和关键线路稍差；工期保证措施稍差的，得10-20分；</w:t>
            </w:r>
          </w:p>
          <w:p w14:paraId="6107AD1D">
            <w:pPr>
              <w:tabs>
                <w:tab w:val="left" w:pos="210"/>
              </w:tabs>
              <w:spacing w:line="360" w:lineRule="auto"/>
              <w:rPr>
                <w:color w:val="auto"/>
                <w:sz w:val="24"/>
                <w:szCs w:val="24"/>
                <w:highlight w:val="none"/>
              </w:rPr>
            </w:pPr>
            <w:r>
              <w:rPr>
                <w:rFonts w:hint="eastAsia"/>
                <w:color w:val="auto"/>
                <w:sz w:val="24"/>
                <w:szCs w:val="24"/>
                <w:highlight w:val="none"/>
              </w:rPr>
              <w:t>d. 投标文件中未提供施工进度计划及工期保证措施方案的，不得分。</w:t>
            </w:r>
          </w:p>
          <w:p w14:paraId="3C0FCDE9">
            <w:pPr>
              <w:widowControl w:val="0"/>
              <w:snapToGrid w:val="0"/>
              <w:spacing w:line="440" w:lineRule="exact"/>
              <w:jc w:val="left"/>
              <w:textAlignment w:val="auto"/>
              <w:rPr>
                <w:rFonts w:ascii="宋体" w:hAnsi="宋体"/>
                <w:color w:val="auto"/>
                <w:sz w:val="24"/>
                <w:highlight w:val="none"/>
              </w:rPr>
            </w:pPr>
          </w:p>
        </w:tc>
        <w:tc>
          <w:tcPr>
            <w:tcW w:w="804" w:type="dxa"/>
            <w:shd w:val="clear" w:color="auto" w:fill="auto"/>
            <w:vAlign w:val="center"/>
          </w:tcPr>
          <w:p w14:paraId="5AA21190">
            <w:pPr>
              <w:snapToGrid w:val="0"/>
              <w:spacing w:line="400" w:lineRule="exact"/>
              <w:jc w:val="both"/>
              <w:rPr>
                <w:rFonts w:hint="eastAsia" w:hAnsi="宋体"/>
                <w:color w:val="auto"/>
                <w:sz w:val="24"/>
                <w:highlight w:val="none"/>
                <w:lang w:val="en-US" w:eastAsia="zh-CN"/>
              </w:rPr>
            </w:pPr>
            <w:r>
              <w:rPr>
                <w:rFonts w:hint="eastAsia" w:hAnsi="宋体"/>
                <w:color w:val="auto"/>
                <w:sz w:val="24"/>
                <w:highlight w:val="none"/>
                <w:lang w:val="en-US" w:eastAsia="zh-CN"/>
              </w:rPr>
              <w:t>0-100</w:t>
            </w:r>
          </w:p>
        </w:tc>
        <w:tc>
          <w:tcPr>
            <w:tcW w:w="743" w:type="dxa"/>
            <w:vAlign w:val="center"/>
          </w:tcPr>
          <w:p w14:paraId="115429F6">
            <w:pPr>
              <w:widowControl w:val="0"/>
              <w:snapToGrid w:val="0"/>
              <w:spacing w:line="440" w:lineRule="exact"/>
              <w:jc w:val="center"/>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9%</w:t>
            </w:r>
          </w:p>
        </w:tc>
      </w:tr>
      <w:tr w14:paraId="24B5D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78" w:type="dxa"/>
            <w:vAlign w:val="center"/>
          </w:tcPr>
          <w:p w14:paraId="558DACF8">
            <w:pPr>
              <w:snapToGrid w:val="0"/>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9</w:t>
            </w:r>
          </w:p>
        </w:tc>
        <w:tc>
          <w:tcPr>
            <w:tcW w:w="1297" w:type="dxa"/>
            <w:vAlign w:val="center"/>
          </w:tcPr>
          <w:p w14:paraId="7026B5A3">
            <w:pPr>
              <w:snapToGrid w:val="0"/>
              <w:jc w:val="center"/>
              <w:rPr>
                <w:rFonts w:ascii="宋体" w:hAnsi="宋体"/>
                <w:color w:val="auto"/>
                <w:sz w:val="24"/>
                <w:highlight w:val="none"/>
              </w:rPr>
            </w:pPr>
            <w:r>
              <w:rPr>
                <w:rFonts w:hint="eastAsia" w:ascii="宋体" w:hAnsi="宋体" w:cs="宋体"/>
                <w:color w:val="auto"/>
                <w:sz w:val="24"/>
                <w:szCs w:val="24"/>
                <w:highlight w:val="none"/>
              </w:rPr>
              <w:t>计划与设备配置</w:t>
            </w:r>
          </w:p>
        </w:tc>
        <w:tc>
          <w:tcPr>
            <w:tcW w:w="5891" w:type="dxa"/>
            <w:vAlign w:val="center"/>
          </w:tcPr>
          <w:p w14:paraId="5E917C49">
            <w:pPr>
              <w:tabs>
                <w:tab w:val="left" w:pos="210"/>
              </w:tabs>
              <w:spacing w:line="360" w:lineRule="auto"/>
              <w:rPr>
                <w:rFonts w:hint="eastAsia"/>
                <w:color w:val="auto"/>
                <w:sz w:val="24"/>
                <w:szCs w:val="24"/>
                <w:highlight w:val="none"/>
              </w:rPr>
            </w:pPr>
            <w:r>
              <w:rPr>
                <w:rFonts w:hint="eastAsia" w:ascii="宋体" w:hAnsi="宋体" w:cs="宋体"/>
                <w:color w:val="auto"/>
                <w:sz w:val="24"/>
                <w:szCs w:val="24"/>
                <w:highlight w:val="none"/>
              </w:rPr>
              <w:t>计划与设备配置</w:t>
            </w:r>
            <w:r>
              <w:rPr>
                <w:rFonts w:hint="eastAsia" w:ascii="宋体" w:hAnsi="宋体" w:cs="宋体"/>
                <w:color w:val="auto"/>
                <w:sz w:val="24"/>
                <w:szCs w:val="24"/>
                <w:highlight w:val="none"/>
                <w:lang w:eastAsia="zh-CN"/>
              </w:rPr>
              <w:t>：</w:t>
            </w:r>
            <w:r>
              <w:rPr>
                <w:rFonts w:hint="eastAsia"/>
                <w:color w:val="auto"/>
                <w:sz w:val="24"/>
                <w:szCs w:val="24"/>
                <w:highlight w:val="none"/>
              </w:rPr>
              <w:t>a.投标文件中劳动力及材料供应计划，主要施工设备配置具体、有效，可行性强；劳动力安排和材料投入计划与施工进度计划衔接合理，满足施工需要，调配投入计划合理；施工机械投入与施工进度计划衔接合理，满足工程要求，施工机械搭配合理的，得70-100分；</w:t>
            </w:r>
          </w:p>
          <w:p w14:paraId="610A50E7">
            <w:pPr>
              <w:tabs>
                <w:tab w:val="left" w:pos="210"/>
              </w:tabs>
              <w:spacing w:line="360" w:lineRule="auto"/>
              <w:rPr>
                <w:rFonts w:hint="eastAsia"/>
                <w:color w:val="auto"/>
                <w:sz w:val="24"/>
                <w:szCs w:val="24"/>
                <w:highlight w:val="none"/>
              </w:rPr>
            </w:pPr>
            <w:r>
              <w:rPr>
                <w:rFonts w:hint="eastAsia"/>
                <w:color w:val="auto"/>
                <w:sz w:val="24"/>
                <w:szCs w:val="24"/>
                <w:highlight w:val="none"/>
              </w:rPr>
              <w:t>b.投标文件中劳动力及材料供应计划，主要施工设备配置基本有效，基本可行；劳动力安排和材料投入计划与施工进度计划衔接基本合理，基本满足施工需要，调配投入计划基本合理；施工机械投入与施工进度计划衔接基本合理，基本满足工程要求，施工机械搭配基本合理的，得30-60分；</w:t>
            </w:r>
          </w:p>
          <w:p w14:paraId="58CE3EFB">
            <w:pPr>
              <w:tabs>
                <w:tab w:val="left" w:pos="210"/>
              </w:tabs>
              <w:spacing w:line="360" w:lineRule="auto"/>
              <w:rPr>
                <w:rFonts w:hint="eastAsia"/>
                <w:color w:val="auto"/>
                <w:sz w:val="24"/>
                <w:szCs w:val="24"/>
                <w:highlight w:val="none"/>
              </w:rPr>
            </w:pPr>
            <w:r>
              <w:rPr>
                <w:rFonts w:hint="eastAsia"/>
                <w:color w:val="auto"/>
                <w:sz w:val="24"/>
                <w:szCs w:val="24"/>
                <w:highlight w:val="none"/>
              </w:rPr>
              <w:t>c. 投标文件中劳动力及材料供应计划，主要施工设备配置稍差；劳动力安排和材料投入计划与施工进度计划衔接稍差，基本满足施工需要，调配投入计划稍差；施工机械投入与施工进度计划衔接稍差，施工机械搭配稍差的，得10-20分；</w:t>
            </w:r>
          </w:p>
          <w:p w14:paraId="32D03B1A">
            <w:pPr>
              <w:tabs>
                <w:tab w:val="left" w:pos="210"/>
              </w:tabs>
              <w:spacing w:line="360" w:lineRule="auto"/>
              <w:rPr>
                <w:rFonts w:ascii="宋体" w:hAnsi="宋体"/>
                <w:color w:val="auto"/>
                <w:sz w:val="24"/>
                <w:highlight w:val="none"/>
              </w:rPr>
            </w:pPr>
            <w:r>
              <w:rPr>
                <w:rFonts w:hint="eastAsia"/>
                <w:color w:val="auto"/>
                <w:sz w:val="24"/>
                <w:szCs w:val="24"/>
                <w:highlight w:val="none"/>
              </w:rPr>
              <w:t>d. 投标文件中未提供计划与设备配置方案的，不得分。</w:t>
            </w:r>
          </w:p>
        </w:tc>
        <w:tc>
          <w:tcPr>
            <w:tcW w:w="804" w:type="dxa"/>
            <w:shd w:val="clear" w:color="auto" w:fill="auto"/>
            <w:vAlign w:val="center"/>
          </w:tcPr>
          <w:p w14:paraId="77634811">
            <w:pPr>
              <w:snapToGrid w:val="0"/>
              <w:spacing w:line="400" w:lineRule="exact"/>
              <w:jc w:val="both"/>
              <w:rPr>
                <w:rFonts w:hint="eastAsia" w:ascii="宋体" w:hAnsi="宋体" w:eastAsia="宋体" w:cs="宋体"/>
                <w:color w:val="auto"/>
                <w:kern w:val="2"/>
                <w:sz w:val="24"/>
                <w:szCs w:val="24"/>
                <w:highlight w:val="none"/>
                <w:lang w:val="en-US" w:eastAsia="zh-CN" w:bidi="ar-SA"/>
              </w:rPr>
            </w:pPr>
            <w:r>
              <w:rPr>
                <w:rFonts w:hint="eastAsia" w:hAnsi="宋体"/>
                <w:color w:val="auto"/>
                <w:sz w:val="24"/>
                <w:highlight w:val="none"/>
                <w:lang w:val="en-US" w:eastAsia="zh-CN"/>
              </w:rPr>
              <w:t>0-100</w:t>
            </w:r>
          </w:p>
        </w:tc>
        <w:tc>
          <w:tcPr>
            <w:tcW w:w="743" w:type="dxa"/>
            <w:vAlign w:val="center"/>
          </w:tcPr>
          <w:p w14:paraId="0114D7EB">
            <w:pPr>
              <w:snapToGrid w:val="0"/>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8%</w:t>
            </w:r>
          </w:p>
        </w:tc>
      </w:tr>
      <w:tr w14:paraId="04D5A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Align w:val="center"/>
          </w:tcPr>
          <w:p w14:paraId="51A02966">
            <w:pPr>
              <w:snapToGrid w:val="0"/>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10</w:t>
            </w:r>
          </w:p>
        </w:tc>
        <w:tc>
          <w:tcPr>
            <w:tcW w:w="1297" w:type="dxa"/>
            <w:vAlign w:val="center"/>
          </w:tcPr>
          <w:p w14:paraId="39C02509">
            <w:pPr>
              <w:snapToGrid w:val="0"/>
              <w:jc w:val="center"/>
              <w:rPr>
                <w:rFonts w:ascii="宋体" w:hAnsi="宋体"/>
                <w:color w:val="auto"/>
                <w:sz w:val="24"/>
                <w:highlight w:val="none"/>
              </w:rPr>
            </w:pPr>
            <w:r>
              <w:rPr>
                <w:rFonts w:hint="eastAsia" w:ascii="宋体" w:hAnsi="宋体" w:cs="宋体"/>
                <w:color w:val="auto"/>
                <w:sz w:val="24"/>
                <w:szCs w:val="24"/>
                <w:highlight w:val="none"/>
              </w:rPr>
              <w:t>工程质量保证方案</w:t>
            </w:r>
          </w:p>
        </w:tc>
        <w:tc>
          <w:tcPr>
            <w:tcW w:w="5891" w:type="dxa"/>
            <w:vAlign w:val="center"/>
          </w:tcPr>
          <w:p w14:paraId="5150F8A2">
            <w:pPr>
              <w:tabs>
                <w:tab w:val="left" w:pos="210"/>
              </w:tabs>
              <w:spacing w:line="360" w:lineRule="auto"/>
              <w:rPr>
                <w:rFonts w:hint="eastAsia"/>
                <w:color w:val="auto"/>
                <w:sz w:val="24"/>
                <w:szCs w:val="24"/>
                <w:highlight w:val="none"/>
              </w:rPr>
            </w:pPr>
            <w:r>
              <w:rPr>
                <w:rFonts w:hint="eastAsia" w:ascii="宋体" w:hAnsi="宋体" w:cs="宋体"/>
                <w:color w:val="auto"/>
                <w:sz w:val="24"/>
                <w:szCs w:val="24"/>
                <w:highlight w:val="none"/>
              </w:rPr>
              <w:t>工程质量保证方案</w:t>
            </w:r>
            <w:r>
              <w:rPr>
                <w:rFonts w:hint="eastAsia" w:ascii="宋体" w:hAnsi="宋体" w:cs="宋体"/>
                <w:color w:val="auto"/>
                <w:sz w:val="24"/>
                <w:szCs w:val="24"/>
                <w:highlight w:val="none"/>
                <w:lang w:eastAsia="zh-CN"/>
              </w:rPr>
              <w:t>：</w:t>
            </w:r>
            <w:r>
              <w:rPr>
                <w:rFonts w:hint="eastAsia"/>
                <w:color w:val="auto"/>
                <w:sz w:val="24"/>
                <w:szCs w:val="24"/>
                <w:highlight w:val="none"/>
              </w:rPr>
              <w:t>a. 投标文件中工程质量保证方案，体系完备，措施具体、有效，可行性强的，得70-100分；</w:t>
            </w:r>
          </w:p>
          <w:p w14:paraId="51DDF307">
            <w:pPr>
              <w:tabs>
                <w:tab w:val="left" w:pos="210"/>
              </w:tabs>
              <w:spacing w:line="360" w:lineRule="auto"/>
              <w:rPr>
                <w:rFonts w:hint="eastAsia"/>
                <w:color w:val="auto"/>
                <w:sz w:val="24"/>
                <w:szCs w:val="24"/>
                <w:highlight w:val="none"/>
              </w:rPr>
            </w:pPr>
            <w:r>
              <w:rPr>
                <w:rFonts w:hint="eastAsia"/>
                <w:color w:val="auto"/>
                <w:sz w:val="24"/>
                <w:szCs w:val="24"/>
                <w:highlight w:val="none"/>
              </w:rPr>
              <w:t>b. 投标文件中工程质量保证方案，体系完备，措施基本合理、基本可行的，基本合理</w:t>
            </w:r>
            <w:r>
              <w:rPr>
                <w:rFonts w:hint="eastAsia"/>
                <w:color w:val="auto"/>
                <w:sz w:val="24"/>
                <w:szCs w:val="24"/>
                <w:highlight w:val="none"/>
                <w:lang w:eastAsia="zh-CN"/>
              </w:rPr>
              <w:t>的</w:t>
            </w:r>
            <w:r>
              <w:rPr>
                <w:rFonts w:hint="eastAsia"/>
                <w:color w:val="auto"/>
                <w:sz w:val="24"/>
                <w:szCs w:val="24"/>
                <w:highlight w:val="none"/>
              </w:rPr>
              <w:t>，得30-60分；</w:t>
            </w:r>
          </w:p>
          <w:p w14:paraId="1C7BBA11">
            <w:pPr>
              <w:tabs>
                <w:tab w:val="left" w:pos="210"/>
              </w:tabs>
              <w:spacing w:line="360" w:lineRule="auto"/>
              <w:rPr>
                <w:rFonts w:hint="eastAsia"/>
                <w:color w:val="auto"/>
                <w:sz w:val="24"/>
                <w:szCs w:val="24"/>
                <w:highlight w:val="none"/>
              </w:rPr>
            </w:pPr>
            <w:r>
              <w:rPr>
                <w:rFonts w:hint="eastAsia"/>
                <w:color w:val="auto"/>
                <w:sz w:val="24"/>
                <w:szCs w:val="24"/>
                <w:highlight w:val="none"/>
              </w:rPr>
              <w:t>c. 投标文件中工程质量保证方案，体系完备，措施稍差</w:t>
            </w:r>
            <w:r>
              <w:rPr>
                <w:rFonts w:hint="eastAsia"/>
                <w:color w:val="auto"/>
                <w:sz w:val="24"/>
                <w:szCs w:val="24"/>
                <w:highlight w:val="none"/>
                <w:lang w:eastAsia="zh-CN"/>
              </w:rPr>
              <w:t>的</w:t>
            </w:r>
            <w:r>
              <w:rPr>
                <w:rFonts w:hint="eastAsia"/>
                <w:color w:val="auto"/>
                <w:sz w:val="24"/>
                <w:szCs w:val="24"/>
                <w:highlight w:val="none"/>
              </w:rPr>
              <w:t>，得10-20分；</w:t>
            </w:r>
          </w:p>
          <w:p w14:paraId="72612D2C">
            <w:pPr>
              <w:tabs>
                <w:tab w:val="left" w:pos="210"/>
              </w:tabs>
              <w:spacing w:line="360" w:lineRule="auto"/>
              <w:rPr>
                <w:rFonts w:ascii="宋体" w:hAnsi="宋体"/>
                <w:color w:val="auto"/>
                <w:sz w:val="24"/>
                <w:highlight w:val="none"/>
              </w:rPr>
            </w:pPr>
            <w:r>
              <w:rPr>
                <w:rFonts w:hint="eastAsia"/>
                <w:color w:val="auto"/>
                <w:sz w:val="24"/>
                <w:szCs w:val="24"/>
                <w:highlight w:val="none"/>
              </w:rPr>
              <w:t>d. 投标文件中未提供工程质量保证方案的，不得分。</w:t>
            </w:r>
          </w:p>
        </w:tc>
        <w:tc>
          <w:tcPr>
            <w:tcW w:w="804" w:type="dxa"/>
            <w:shd w:val="clear" w:color="auto" w:fill="auto"/>
            <w:vAlign w:val="center"/>
          </w:tcPr>
          <w:p w14:paraId="02DE363F">
            <w:pPr>
              <w:snapToGrid w:val="0"/>
              <w:spacing w:line="400" w:lineRule="exact"/>
              <w:jc w:val="center"/>
              <w:rPr>
                <w:rFonts w:hint="eastAsia" w:ascii="宋体" w:hAnsi="宋体" w:eastAsia="宋体" w:cs="宋体"/>
                <w:color w:val="auto"/>
                <w:kern w:val="2"/>
                <w:sz w:val="24"/>
                <w:szCs w:val="24"/>
                <w:highlight w:val="none"/>
                <w:lang w:val="en-US" w:eastAsia="zh-CN" w:bidi="ar-SA"/>
              </w:rPr>
            </w:pPr>
            <w:r>
              <w:rPr>
                <w:rFonts w:hint="eastAsia" w:hAnsi="宋体"/>
                <w:color w:val="auto"/>
                <w:sz w:val="24"/>
                <w:highlight w:val="none"/>
                <w:lang w:val="en-US" w:eastAsia="zh-CN"/>
              </w:rPr>
              <w:t>0-100</w:t>
            </w:r>
          </w:p>
        </w:tc>
        <w:tc>
          <w:tcPr>
            <w:tcW w:w="743" w:type="dxa"/>
            <w:vAlign w:val="center"/>
          </w:tcPr>
          <w:p w14:paraId="043838AB">
            <w:pPr>
              <w:snapToGrid w:val="0"/>
              <w:jc w:val="center"/>
              <w:rPr>
                <w:rFonts w:hint="default" w:hAnsi="宋体" w:eastAsia="宋体"/>
                <w:color w:val="auto"/>
                <w:sz w:val="24"/>
                <w:highlight w:val="none"/>
                <w:lang w:val="en-US" w:eastAsia="zh-CN"/>
              </w:rPr>
            </w:pPr>
            <w:r>
              <w:rPr>
                <w:rFonts w:hint="eastAsia" w:hAnsi="宋体"/>
                <w:color w:val="auto"/>
                <w:sz w:val="24"/>
                <w:highlight w:val="none"/>
                <w:lang w:val="en-US" w:eastAsia="zh-CN"/>
              </w:rPr>
              <w:t>8%</w:t>
            </w:r>
          </w:p>
        </w:tc>
      </w:tr>
      <w:tr w14:paraId="4A35F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Align w:val="center"/>
          </w:tcPr>
          <w:p w14:paraId="1E75B701">
            <w:pPr>
              <w:snapToGrid w:val="0"/>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297" w:type="dxa"/>
            <w:vAlign w:val="center"/>
          </w:tcPr>
          <w:p w14:paraId="4F17076F">
            <w:pPr>
              <w:snapToGrid w:val="0"/>
              <w:jc w:val="center"/>
              <w:rPr>
                <w:rFonts w:ascii="宋体" w:hAnsi="宋体"/>
                <w:color w:val="auto"/>
                <w:sz w:val="24"/>
                <w:highlight w:val="none"/>
              </w:rPr>
            </w:pPr>
            <w:r>
              <w:rPr>
                <w:rFonts w:hint="eastAsia" w:ascii="宋体" w:hAnsi="宋体" w:cs="宋体"/>
                <w:color w:val="auto"/>
                <w:sz w:val="24"/>
                <w:szCs w:val="24"/>
                <w:highlight w:val="none"/>
              </w:rPr>
              <w:t>安全生产保证方案</w:t>
            </w:r>
          </w:p>
        </w:tc>
        <w:tc>
          <w:tcPr>
            <w:tcW w:w="5891" w:type="dxa"/>
            <w:vAlign w:val="center"/>
          </w:tcPr>
          <w:p w14:paraId="3E6D881F">
            <w:pPr>
              <w:tabs>
                <w:tab w:val="left" w:pos="210"/>
              </w:tabs>
              <w:spacing w:line="360" w:lineRule="auto"/>
              <w:rPr>
                <w:rFonts w:hint="eastAsia"/>
                <w:color w:val="auto"/>
                <w:sz w:val="24"/>
                <w:szCs w:val="24"/>
                <w:highlight w:val="none"/>
              </w:rPr>
            </w:pPr>
            <w:r>
              <w:rPr>
                <w:rFonts w:hint="eastAsia" w:ascii="宋体" w:hAnsi="宋体" w:cs="宋体"/>
                <w:color w:val="auto"/>
                <w:sz w:val="24"/>
                <w:szCs w:val="24"/>
                <w:highlight w:val="none"/>
              </w:rPr>
              <w:t>安全生产保证方案</w:t>
            </w:r>
            <w:r>
              <w:rPr>
                <w:rFonts w:hint="eastAsia" w:ascii="宋体" w:hAnsi="宋体" w:cs="宋体"/>
                <w:color w:val="auto"/>
                <w:sz w:val="24"/>
                <w:szCs w:val="24"/>
                <w:highlight w:val="none"/>
                <w:lang w:eastAsia="zh-CN"/>
              </w:rPr>
              <w:t>：</w:t>
            </w:r>
            <w:r>
              <w:rPr>
                <w:rFonts w:hint="eastAsia"/>
                <w:color w:val="auto"/>
                <w:sz w:val="24"/>
                <w:szCs w:val="24"/>
                <w:highlight w:val="none"/>
              </w:rPr>
              <w:t>a. 投标文件中安全生产保证方案内保证安全施工的具体措施，包括安全事故应急预案等全面、合理、可行的，得70-100分；</w:t>
            </w:r>
          </w:p>
          <w:p w14:paraId="02A78385">
            <w:pPr>
              <w:tabs>
                <w:tab w:val="left" w:pos="210"/>
              </w:tabs>
              <w:spacing w:line="360" w:lineRule="auto"/>
              <w:rPr>
                <w:rFonts w:hint="eastAsia"/>
                <w:color w:val="auto"/>
                <w:sz w:val="24"/>
                <w:szCs w:val="24"/>
                <w:highlight w:val="none"/>
              </w:rPr>
            </w:pPr>
            <w:r>
              <w:rPr>
                <w:rFonts w:hint="eastAsia"/>
                <w:color w:val="auto"/>
                <w:sz w:val="24"/>
                <w:szCs w:val="24"/>
                <w:highlight w:val="none"/>
              </w:rPr>
              <w:t>b. 投标文件中安全生产保证方案内保证安全施工的具体措施，包括安全事故应急预案等基本合理、基本可行的，基本合理</w:t>
            </w:r>
            <w:r>
              <w:rPr>
                <w:rFonts w:hint="eastAsia"/>
                <w:color w:val="auto"/>
                <w:sz w:val="24"/>
                <w:szCs w:val="24"/>
                <w:highlight w:val="none"/>
                <w:lang w:eastAsia="zh-CN"/>
              </w:rPr>
              <w:t>的</w:t>
            </w:r>
            <w:r>
              <w:rPr>
                <w:rFonts w:hint="eastAsia"/>
                <w:color w:val="auto"/>
                <w:sz w:val="24"/>
                <w:szCs w:val="24"/>
                <w:highlight w:val="none"/>
              </w:rPr>
              <w:t>得30-60分；</w:t>
            </w:r>
          </w:p>
          <w:p w14:paraId="4745D827">
            <w:pPr>
              <w:tabs>
                <w:tab w:val="left" w:pos="210"/>
              </w:tabs>
              <w:spacing w:line="360" w:lineRule="auto"/>
              <w:rPr>
                <w:rFonts w:hint="eastAsia"/>
                <w:color w:val="auto"/>
                <w:sz w:val="24"/>
                <w:szCs w:val="24"/>
                <w:highlight w:val="none"/>
              </w:rPr>
            </w:pPr>
            <w:r>
              <w:rPr>
                <w:rFonts w:hint="eastAsia"/>
                <w:color w:val="auto"/>
                <w:sz w:val="24"/>
                <w:szCs w:val="24"/>
                <w:highlight w:val="none"/>
              </w:rPr>
              <w:t>c. 投标文件中安全生产保证方案内保证安全施工的具体措施，包括安全事故应急预案等稍差</w:t>
            </w:r>
            <w:r>
              <w:rPr>
                <w:rFonts w:hint="eastAsia"/>
                <w:color w:val="auto"/>
                <w:sz w:val="24"/>
                <w:szCs w:val="24"/>
                <w:highlight w:val="none"/>
                <w:lang w:eastAsia="zh-CN"/>
              </w:rPr>
              <w:t>的</w:t>
            </w:r>
            <w:r>
              <w:rPr>
                <w:rFonts w:hint="eastAsia"/>
                <w:color w:val="auto"/>
                <w:sz w:val="24"/>
                <w:szCs w:val="24"/>
                <w:highlight w:val="none"/>
              </w:rPr>
              <w:t>，得10-20分；</w:t>
            </w:r>
          </w:p>
          <w:p w14:paraId="0FDAECA5">
            <w:pPr>
              <w:tabs>
                <w:tab w:val="left" w:pos="210"/>
              </w:tabs>
              <w:spacing w:line="360" w:lineRule="auto"/>
              <w:rPr>
                <w:rFonts w:hAnsi="宋体"/>
                <w:color w:val="auto"/>
                <w:sz w:val="24"/>
                <w:highlight w:val="none"/>
              </w:rPr>
            </w:pPr>
            <w:r>
              <w:rPr>
                <w:rFonts w:hint="eastAsia"/>
                <w:color w:val="auto"/>
                <w:sz w:val="24"/>
                <w:szCs w:val="24"/>
                <w:highlight w:val="none"/>
              </w:rPr>
              <w:t>d. 投标文件中未提供安全生产保证方案的，不得分。</w:t>
            </w:r>
          </w:p>
        </w:tc>
        <w:tc>
          <w:tcPr>
            <w:tcW w:w="804" w:type="dxa"/>
            <w:shd w:val="clear" w:color="auto" w:fill="auto"/>
            <w:vAlign w:val="center"/>
          </w:tcPr>
          <w:p w14:paraId="0F3E7A0E">
            <w:pPr>
              <w:snapToGrid w:val="0"/>
              <w:spacing w:line="400" w:lineRule="exact"/>
              <w:jc w:val="center"/>
              <w:rPr>
                <w:rFonts w:hint="eastAsia" w:ascii="宋体" w:hAnsi="宋体" w:eastAsia="宋体" w:cs="宋体"/>
                <w:color w:val="auto"/>
                <w:kern w:val="2"/>
                <w:sz w:val="24"/>
                <w:szCs w:val="24"/>
                <w:highlight w:val="none"/>
                <w:lang w:val="en-US" w:eastAsia="zh-CN" w:bidi="ar-SA"/>
              </w:rPr>
            </w:pPr>
            <w:r>
              <w:rPr>
                <w:rFonts w:hint="eastAsia" w:hAnsi="宋体"/>
                <w:color w:val="auto"/>
                <w:sz w:val="24"/>
                <w:highlight w:val="none"/>
                <w:lang w:val="en-US" w:eastAsia="zh-CN"/>
              </w:rPr>
              <w:t>0-100</w:t>
            </w:r>
          </w:p>
        </w:tc>
        <w:tc>
          <w:tcPr>
            <w:tcW w:w="743" w:type="dxa"/>
            <w:vAlign w:val="center"/>
          </w:tcPr>
          <w:p w14:paraId="36A2928E">
            <w:pPr>
              <w:snapToGrid w:val="0"/>
              <w:jc w:val="center"/>
              <w:rPr>
                <w:rFonts w:hint="default" w:hAnsi="宋体" w:eastAsia="宋体"/>
                <w:color w:val="auto"/>
                <w:sz w:val="24"/>
                <w:highlight w:val="none"/>
                <w:lang w:val="en-US" w:eastAsia="zh-CN"/>
              </w:rPr>
            </w:pPr>
            <w:r>
              <w:rPr>
                <w:rFonts w:hint="eastAsia" w:hAnsi="宋体"/>
                <w:color w:val="auto"/>
                <w:sz w:val="24"/>
                <w:highlight w:val="none"/>
                <w:lang w:val="en-US" w:eastAsia="zh-CN"/>
              </w:rPr>
              <w:t>8%</w:t>
            </w:r>
          </w:p>
        </w:tc>
      </w:tr>
      <w:tr w14:paraId="47DA4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vAlign w:val="center"/>
          </w:tcPr>
          <w:p w14:paraId="0BAA344D">
            <w:pPr>
              <w:snapToGrid w:val="0"/>
              <w:jc w:val="center"/>
              <w:rPr>
                <w:rFonts w:hint="default" w:hAnsi="宋体"/>
                <w:color w:val="auto"/>
                <w:sz w:val="24"/>
                <w:highlight w:val="none"/>
                <w:lang w:val="en-US" w:eastAsia="zh-CN"/>
              </w:rPr>
            </w:pPr>
            <w:r>
              <w:rPr>
                <w:rFonts w:hint="eastAsia" w:hAnsi="宋体"/>
                <w:color w:val="auto"/>
                <w:sz w:val="24"/>
                <w:highlight w:val="none"/>
                <w:lang w:val="en-US" w:eastAsia="zh-CN"/>
              </w:rPr>
              <w:t>12</w:t>
            </w:r>
          </w:p>
        </w:tc>
        <w:tc>
          <w:tcPr>
            <w:tcW w:w="1297" w:type="dxa"/>
            <w:vAlign w:val="center"/>
          </w:tcPr>
          <w:p w14:paraId="3068F4F5">
            <w:pPr>
              <w:snapToGrid w:val="0"/>
              <w:jc w:val="center"/>
              <w:rPr>
                <w:rFonts w:hint="eastAsia" w:hAnsi="宋体"/>
                <w:color w:val="auto"/>
                <w:sz w:val="24"/>
                <w:highlight w:val="none"/>
              </w:rPr>
            </w:pPr>
            <w:r>
              <w:rPr>
                <w:rFonts w:hint="eastAsia" w:ascii="宋体" w:hAnsi="宋体" w:cs="宋体"/>
                <w:color w:val="auto"/>
                <w:sz w:val="24"/>
                <w:szCs w:val="24"/>
                <w:highlight w:val="none"/>
              </w:rPr>
              <w:t>文明施工环境保护</w:t>
            </w:r>
          </w:p>
        </w:tc>
        <w:tc>
          <w:tcPr>
            <w:tcW w:w="5891" w:type="dxa"/>
            <w:vAlign w:val="center"/>
          </w:tcPr>
          <w:p w14:paraId="43717AC9">
            <w:pPr>
              <w:tabs>
                <w:tab w:val="left" w:pos="210"/>
              </w:tabs>
              <w:spacing w:line="360" w:lineRule="auto"/>
              <w:rPr>
                <w:rFonts w:hint="eastAsia"/>
                <w:color w:val="auto"/>
                <w:sz w:val="24"/>
                <w:szCs w:val="24"/>
                <w:highlight w:val="none"/>
              </w:rPr>
            </w:pPr>
            <w:r>
              <w:rPr>
                <w:rFonts w:hint="eastAsia" w:ascii="宋体" w:hAnsi="宋体" w:cs="宋体"/>
                <w:color w:val="auto"/>
                <w:sz w:val="24"/>
                <w:szCs w:val="24"/>
                <w:highlight w:val="none"/>
              </w:rPr>
              <w:t>文明施工环境保护</w:t>
            </w:r>
            <w:r>
              <w:rPr>
                <w:rFonts w:hint="eastAsia" w:ascii="宋体" w:hAnsi="宋体" w:cs="宋体"/>
                <w:color w:val="auto"/>
                <w:sz w:val="24"/>
                <w:szCs w:val="24"/>
                <w:highlight w:val="none"/>
                <w:lang w:eastAsia="zh-CN"/>
              </w:rPr>
              <w:t>：</w:t>
            </w:r>
            <w:r>
              <w:rPr>
                <w:rFonts w:hint="eastAsia"/>
                <w:color w:val="auto"/>
                <w:sz w:val="24"/>
                <w:szCs w:val="24"/>
                <w:highlight w:val="none"/>
              </w:rPr>
              <w:t>a. 投标文件中文明施工及环境保护实施保证措施较好的得70-100分；</w:t>
            </w:r>
          </w:p>
          <w:p w14:paraId="2AF49832">
            <w:pPr>
              <w:tabs>
                <w:tab w:val="left" w:pos="210"/>
              </w:tabs>
              <w:spacing w:line="360" w:lineRule="auto"/>
              <w:rPr>
                <w:rFonts w:hint="eastAsia"/>
                <w:color w:val="auto"/>
                <w:sz w:val="24"/>
                <w:szCs w:val="24"/>
                <w:highlight w:val="none"/>
              </w:rPr>
            </w:pPr>
            <w:r>
              <w:rPr>
                <w:rFonts w:hint="eastAsia"/>
                <w:color w:val="auto"/>
                <w:sz w:val="24"/>
                <w:szCs w:val="24"/>
                <w:highlight w:val="none"/>
              </w:rPr>
              <w:t>b. 投标文件中文明施工及环境保护实施保证措施一般的得30-60分；</w:t>
            </w:r>
          </w:p>
          <w:p w14:paraId="73CB76C9">
            <w:pPr>
              <w:tabs>
                <w:tab w:val="left" w:pos="210"/>
              </w:tabs>
              <w:spacing w:line="360" w:lineRule="auto"/>
              <w:rPr>
                <w:rFonts w:hint="eastAsia"/>
                <w:color w:val="auto"/>
                <w:sz w:val="24"/>
                <w:szCs w:val="24"/>
                <w:highlight w:val="none"/>
              </w:rPr>
            </w:pPr>
            <w:r>
              <w:rPr>
                <w:rFonts w:hint="eastAsia"/>
                <w:color w:val="auto"/>
                <w:sz w:val="24"/>
                <w:szCs w:val="24"/>
                <w:highlight w:val="none"/>
              </w:rPr>
              <w:t>c. 投标文件中文明施工及环境保护实施保证措施稍差的得0-20分；</w:t>
            </w:r>
          </w:p>
          <w:p w14:paraId="34A934A0">
            <w:pPr>
              <w:tabs>
                <w:tab w:val="left" w:pos="210"/>
              </w:tabs>
              <w:spacing w:line="360" w:lineRule="auto"/>
              <w:rPr>
                <w:rFonts w:hint="eastAsia" w:hAnsi="宋体"/>
                <w:color w:val="auto"/>
                <w:sz w:val="24"/>
                <w:highlight w:val="none"/>
              </w:rPr>
            </w:pPr>
            <w:r>
              <w:rPr>
                <w:rFonts w:hint="eastAsia"/>
                <w:color w:val="auto"/>
                <w:sz w:val="24"/>
                <w:szCs w:val="24"/>
                <w:highlight w:val="none"/>
              </w:rPr>
              <w:t>d. 投标文件中未提供文明施工环境保护方案的，不得分。</w:t>
            </w:r>
          </w:p>
        </w:tc>
        <w:tc>
          <w:tcPr>
            <w:tcW w:w="804" w:type="dxa"/>
            <w:shd w:val="clear" w:color="auto" w:fill="auto"/>
            <w:vAlign w:val="center"/>
          </w:tcPr>
          <w:p w14:paraId="597029FA">
            <w:pPr>
              <w:snapToGrid w:val="0"/>
              <w:spacing w:line="400" w:lineRule="exact"/>
              <w:jc w:val="center"/>
              <w:rPr>
                <w:rFonts w:hint="eastAsia" w:hAnsi="宋体"/>
                <w:color w:val="auto"/>
                <w:sz w:val="24"/>
                <w:szCs w:val="24"/>
                <w:highlight w:val="none"/>
              </w:rPr>
            </w:pPr>
            <w:r>
              <w:rPr>
                <w:rFonts w:hint="eastAsia" w:hAnsi="宋体"/>
                <w:color w:val="auto"/>
                <w:sz w:val="24"/>
                <w:highlight w:val="none"/>
                <w:lang w:val="en-US" w:eastAsia="zh-CN"/>
              </w:rPr>
              <w:t>0-100</w:t>
            </w:r>
          </w:p>
        </w:tc>
        <w:tc>
          <w:tcPr>
            <w:tcW w:w="743" w:type="dxa"/>
            <w:vAlign w:val="center"/>
          </w:tcPr>
          <w:p w14:paraId="4AA736CF">
            <w:pPr>
              <w:pStyle w:val="20"/>
              <w:tabs>
                <w:tab w:val="left" w:pos="435"/>
              </w:tabs>
              <w:spacing w:line="240" w:lineRule="auto"/>
              <w:ind w:left="0" w:leftChars="0" w:firstLine="0" w:firstLineChars="0"/>
              <w:jc w:val="both"/>
              <w:rPr>
                <w:rFonts w:hint="default" w:hAnsi="宋体" w:eastAsia="宋体"/>
                <w:color w:val="auto"/>
                <w:sz w:val="24"/>
                <w:szCs w:val="24"/>
                <w:highlight w:val="none"/>
                <w:lang w:val="en-US" w:eastAsia="zh-CN"/>
              </w:rPr>
            </w:pPr>
            <w:r>
              <w:rPr>
                <w:rFonts w:hint="eastAsia" w:hAnsi="宋体"/>
                <w:color w:val="auto"/>
                <w:sz w:val="24"/>
                <w:szCs w:val="24"/>
                <w:highlight w:val="none"/>
                <w:lang w:val="en-US" w:eastAsia="zh-CN"/>
              </w:rPr>
              <w:t>4%</w:t>
            </w:r>
          </w:p>
        </w:tc>
      </w:tr>
      <w:tr w14:paraId="2A024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778" w:type="dxa"/>
            <w:vAlign w:val="center"/>
          </w:tcPr>
          <w:p w14:paraId="352B5EFF">
            <w:pPr>
              <w:snapToGrid w:val="0"/>
              <w:jc w:val="center"/>
              <w:rPr>
                <w:rFonts w:hint="default" w:hAnsi="宋体"/>
                <w:color w:val="auto"/>
                <w:sz w:val="24"/>
                <w:highlight w:val="none"/>
                <w:lang w:val="en-US" w:eastAsia="zh-CN"/>
              </w:rPr>
            </w:pPr>
            <w:r>
              <w:rPr>
                <w:rFonts w:hint="eastAsia" w:hAnsi="宋体"/>
                <w:color w:val="auto"/>
                <w:sz w:val="24"/>
                <w:highlight w:val="none"/>
                <w:lang w:val="en-US" w:eastAsia="zh-CN"/>
              </w:rPr>
              <w:t>13</w:t>
            </w:r>
          </w:p>
        </w:tc>
        <w:tc>
          <w:tcPr>
            <w:tcW w:w="1297" w:type="dxa"/>
            <w:vAlign w:val="center"/>
          </w:tcPr>
          <w:p w14:paraId="16BC32FF">
            <w:pPr>
              <w:snapToGrid w:val="0"/>
              <w:jc w:val="center"/>
              <w:rPr>
                <w:rFonts w:hint="eastAsia" w:hAnsi="宋体"/>
                <w:color w:val="auto"/>
                <w:sz w:val="24"/>
                <w:highlight w:val="none"/>
              </w:rPr>
            </w:pPr>
            <w:r>
              <w:rPr>
                <w:rFonts w:hint="eastAsia" w:ascii="宋体" w:hAnsi="宋体" w:cs="宋体"/>
                <w:color w:val="auto"/>
                <w:sz w:val="24"/>
                <w:szCs w:val="24"/>
                <w:highlight w:val="none"/>
              </w:rPr>
              <w:t>项目管理组织机构和项目管理班子配备</w:t>
            </w:r>
          </w:p>
        </w:tc>
        <w:tc>
          <w:tcPr>
            <w:tcW w:w="5891" w:type="dxa"/>
            <w:vAlign w:val="center"/>
          </w:tcPr>
          <w:p w14:paraId="02F6BAAA">
            <w:pPr>
              <w:pStyle w:val="10"/>
              <w:tabs>
                <w:tab w:val="left" w:pos="574"/>
              </w:tabs>
              <w:spacing w:line="360" w:lineRule="auto"/>
              <w:rPr>
                <w:color w:val="auto"/>
                <w:sz w:val="24"/>
                <w:szCs w:val="24"/>
                <w:highlight w:val="none"/>
              </w:rPr>
            </w:pPr>
            <w:r>
              <w:rPr>
                <w:rFonts w:hint="eastAsia" w:ascii="宋体" w:hAnsi="宋体" w:cs="宋体"/>
                <w:color w:val="auto"/>
                <w:sz w:val="24"/>
                <w:szCs w:val="24"/>
                <w:highlight w:val="none"/>
              </w:rPr>
              <w:t>项目管理组织机构和项目管理班子配备</w:t>
            </w:r>
            <w:r>
              <w:rPr>
                <w:rFonts w:hint="eastAsia" w:hAnsi="宋体" w:cs="宋体"/>
                <w:color w:val="auto"/>
                <w:sz w:val="24"/>
                <w:szCs w:val="24"/>
                <w:highlight w:val="none"/>
                <w:lang w:eastAsia="zh-CN"/>
              </w:rPr>
              <w:t>：</w:t>
            </w:r>
            <w:r>
              <w:rPr>
                <w:rFonts w:hint="eastAsia"/>
                <w:color w:val="auto"/>
                <w:sz w:val="24"/>
                <w:szCs w:val="24"/>
                <w:highlight w:val="none"/>
              </w:rPr>
              <w:t>项目管理组织机构完善，组成合理、人员资格符合规定得基本分</w:t>
            </w:r>
            <w:r>
              <w:rPr>
                <w:rFonts w:hint="eastAsia"/>
                <w:color w:val="auto"/>
                <w:sz w:val="24"/>
                <w:szCs w:val="24"/>
                <w:highlight w:val="none"/>
                <w:lang w:val="en-US" w:eastAsia="zh-CN"/>
              </w:rPr>
              <w:t>4</w:t>
            </w:r>
            <w:r>
              <w:rPr>
                <w:rFonts w:hint="eastAsia"/>
                <w:color w:val="auto"/>
                <w:sz w:val="24"/>
                <w:szCs w:val="24"/>
                <w:highlight w:val="none"/>
              </w:rPr>
              <w:t>0分。</w:t>
            </w:r>
          </w:p>
          <w:p w14:paraId="530C4FC8">
            <w:pPr>
              <w:tabs>
                <w:tab w:val="left" w:pos="210"/>
              </w:tabs>
              <w:spacing w:line="360" w:lineRule="auto"/>
              <w:rPr>
                <w:rFonts w:hint="eastAsia"/>
                <w:color w:val="auto"/>
                <w:sz w:val="24"/>
                <w:szCs w:val="24"/>
                <w:highlight w:val="none"/>
              </w:rPr>
            </w:pPr>
            <w:r>
              <w:rPr>
                <w:rFonts w:hint="eastAsia"/>
                <w:color w:val="auto"/>
                <w:sz w:val="24"/>
                <w:szCs w:val="24"/>
                <w:highlight w:val="none"/>
              </w:rPr>
              <w:t>（1）项目负责人具有矿建高级及以上职称的，得20分；</w:t>
            </w:r>
          </w:p>
          <w:p w14:paraId="39D698DF">
            <w:pPr>
              <w:tabs>
                <w:tab w:val="left" w:pos="210"/>
              </w:tabs>
              <w:spacing w:line="360" w:lineRule="auto"/>
              <w:rPr>
                <w:rFonts w:hint="eastAsia"/>
                <w:color w:val="auto"/>
                <w:sz w:val="24"/>
                <w:szCs w:val="24"/>
                <w:highlight w:val="none"/>
              </w:rPr>
            </w:pPr>
            <w:r>
              <w:rPr>
                <w:rFonts w:hint="eastAsia"/>
                <w:color w:val="auto"/>
                <w:sz w:val="24"/>
                <w:szCs w:val="24"/>
                <w:highlight w:val="none"/>
              </w:rPr>
              <w:t>（2）拟派项目技术负责人同时具备注册一级矿业建造师、</w:t>
            </w:r>
            <w:r>
              <w:rPr>
                <w:rFonts w:hint="eastAsia"/>
                <w:color w:val="auto"/>
                <w:sz w:val="24"/>
                <w:szCs w:val="24"/>
                <w:highlight w:val="none"/>
                <w:lang w:val="en-US" w:eastAsia="zh-CN"/>
              </w:rPr>
              <w:t>采矿中级</w:t>
            </w:r>
            <w:r>
              <w:rPr>
                <w:rFonts w:hint="eastAsia"/>
                <w:color w:val="auto"/>
                <w:sz w:val="24"/>
                <w:szCs w:val="24"/>
                <w:highlight w:val="none"/>
              </w:rPr>
              <w:t>工程师、工程技术人员资格证书的加</w:t>
            </w:r>
            <w:r>
              <w:rPr>
                <w:rFonts w:hint="eastAsia"/>
                <w:color w:val="auto"/>
                <w:sz w:val="24"/>
                <w:szCs w:val="24"/>
                <w:highlight w:val="none"/>
                <w:lang w:val="en-US" w:eastAsia="zh-CN"/>
              </w:rPr>
              <w:t>2</w:t>
            </w:r>
            <w:r>
              <w:rPr>
                <w:rFonts w:hint="eastAsia"/>
                <w:color w:val="auto"/>
                <w:sz w:val="24"/>
                <w:szCs w:val="24"/>
                <w:highlight w:val="none"/>
              </w:rPr>
              <w:t>0分；</w:t>
            </w:r>
          </w:p>
          <w:p w14:paraId="0A68AE76">
            <w:pPr>
              <w:tabs>
                <w:tab w:val="left" w:pos="210"/>
              </w:tabs>
              <w:spacing w:line="360" w:lineRule="auto"/>
              <w:ind w:firstLine="480" w:firstLineChars="200"/>
              <w:rPr>
                <w:rFonts w:hint="eastAsia" w:hAnsi="宋体"/>
                <w:color w:val="auto"/>
                <w:sz w:val="24"/>
                <w:highlight w:val="none"/>
                <w:lang w:val="en-US" w:eastAsia="zh-CN"/>
              </w:rPr>
            </w:pPr>
            <w:r>
              <w:rPr>
                <w:rFonts w:hint="eastAsia"/>
                <w:color w:val="auto"/>
                <w:sz w:val="24"/>
                <w:szCs w:val="24"/>
                <w:highlight w:val="none"/>
              </w:rPr>
              <w:t>评审依据:提供拟派驻项目负责人、项目技术负责人、资格证书、不少于</w:t>
            </w:r>
            <w:r>
              <w:rPr>
                <w:rFonts w:hint="eastAsia"/>
                <w:color w:val="auto"/>
                <w:sz w:val="24"/>
                <w:szCs w:val="24"/>
                <w:highlight w:val="none"/>
                <w:lang w:val="en-US" w:eastAsia="zh-CN"/>
              </w:rPr>
              <w:t>一年的</w:t>
            </w:r>
            <w:r>
              <w:rPr>
                <w:rFonts w:hint="eastAsia"/>
                <w:color w:val="auto"/>
                <w:sz w:val="24"/>
                <w:szCs w:val="24"/>
                <w:highlight w:val="none"/>
              </w:rPr>
              <w:t>社保证明等相关信息。</w:t>
            </w:r>
          </w:p>
        </w:tc>
        <w:tc>
          <w:tcPr>
            <w:tcW w:w="804" w:type="dxa"/>
            <w:shd w:val="clear" w:color="auto" w:fill="auto"/>
            <w:vAlign w:val="center"/>
          </w:tcPr>
          <w:p w14:paraId="2EAFCD2E">
            <w:pPr>
              <w:snapToGrid w:val="0"/>
              <w:jc w:val="center"/>
              <w:rPr>
                <w:rFonts w:hint="eastAsia" w:hAnsi="宋体"/>
                <w:color w:val="auto"/>
                <w:sz w:val="24"/>
                <w:highlight w:val="none"/>
                <w:lang w:val="en-US" w:eastAsia="zh-CN"/>
              </w:rPr>
            </w:pPr>
            <w:r>
              <w:rPr>
                <w:rFonts w:hint="eastAsia" w:hAnsi="宋体"/>
                <w:color w:val="auto"/>
                <w:sz w:val="24"/>
                <w:highlight w:val="none"/>
                <w:lang w:val="en-US" w:eastAsia="zh-CN"/>
              </w:rPr>
              <w:t>0-100</w:t>
            </w:r>
          </w:p>
        </w:tc>
        <w:tc>
          <w:tcPr>
            <w:tcW w:w="743" w:type="dxa"/>
            <w:vAlign w:val="center"/>
          </w:tcPr>
          <w:p w14:paraId="3B3C8DFB">
            <w:pPr>
              <w:snapToGrid w:val="0"/>
              <w:jc w:val="center"/>
              <w:rPr>
                <w:rFonts w:hint="default" w:hAnsi="宋体"/>
                <w:color w:val="auto"/>
                <w:sz w:val="24"/>
                <w:highlight w:val="none"/>
                <w:lang w:val="en-US" w:eastAsia="zh-CN"/>
              </w:rPr>
            </w:pPr>
            <w:r>
              <w:rPr>
                <w:rFonts w:hint="eastAsia" w:hAnsi="宋体"/>
                <w:color w:val="auto"/>
                <w:sz w:val="24"/>
                <w:highlight w:val="none"/>
                <w:lang w:val="en-US" w:eastAsia="zh-CN"/>
              </w:rPr>
              <w:t>10%</w:t>
            </w:r>
          </w:p>
        </w:tc>
      </w:tr>
    </w:tbl>
    <w:p w14:paraId="04BEF8B2">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注：</w:t>
      </w:r>
    </w:p>
    <w:p w14:paraId="5500E782">
      <w:pPr>
        <w:spacing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rPr>
        <w:t>（1）以上资信标所涉及的证明材料提供扫描件供评标委员会评审（扫描件须加盖投标单位公章编入资信标），未提扫描件或不在有效期限内或提供材料不符合要求的不得分。</w:t>
      </w:r>
    </w:p>
    <w:p w14:paraId="5C3BF073">
      <w:pPr>
        <w:spacing w:line="360" w:lineRule="auto"/>
        <w:rPr>
          <w:rFonts w:hint="eastAsia"/>
          <w:b/>
          <w:color w:val="auto"/>
          <w:sz w:val="24"/>
          <w:szCs w:val="24"/>
          <w:highlight w:val="none"/>
        </w:rPr>
      </w:pPr>
      <w:r>
        <w:rPr>
          <w:rFonts w:hint="eastAsia" w:ascii="宋体" w:hAnsi="宋体" w:cs="宋体"/>
          <w:color w:val="auto"/>
          <w:sz w:val="24"/>
          <w:szCs w:val="24"/>
          <w:highlight w:val="none"/>
        </w:rPr>
        <w:t>（2）证明材料不符合要求或自相矛盾的不得分。</w:t>
      </w:r>
    </w:p>
    <w:p w14:paraId="2CD03F6D">
      <w:pPr>
        <w:tabs>
          <w:tab w:val="left" w:pos="210"/>
        </w:tabs>
        <w:spacing w:line="360" w:lineRule="auto"/>
        <w:rPr>
          <w:rFonts w:hint="eastAsia"/>
          <w:color w:val="auto"/>
          <w:sz w:val="24"/>
          <w:szCs w:val="24"/>
          <w:highlight w:val="none"/>
        </w:rPr>
      </w:pPr>
      <w:r>
        <w:rPr>
          <w:rFonts w:hint="eastAsia"/>
          <w:color w:val="auto"/>
          <w:sz w:val="24"/>
          <w:szCs w:val="24"/>
          <w:highlight w:val="none"/>
        </w:rPr>
        <w:t>评分要求和统计分数原则</w:t>
      </w:r>
    </w:p>
    <w:p w14:paraId="39AF31A1">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1、评标委员会评委应首先对各投标人投标书进行评审，按招标文件规定分值评分。</w:t>
      </w:r>
    </w:p>
    <w:p w14:paraId="4DF5A888">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2、统计分数原则：计算评委算术平均分值为投标人的技术部分得分（保留小数点后两位）。</w:t>
      </w:r>
    </w:p>
    <w:p w14:paraId="02AD7C07">
      <w:pPr>
        <w:pStyle w:val="6"/>
        <w:spacing w:line="360" w:lineRule="auto"/>
        <w:rPr>
          <w:rFonts w:hint="eastAsia"/>
          <w:color w:val="auto"/>
          <w:szCs w:val="24"/>
          <w:highlight w:val="none"/>
        </w:rPr>
      </w:pPr>
      <w:bookmarkStart w:id="274" w:name="_Toc72846812"/>
      <w:r>
        <w:rPr>
          <w:rFonts w:hint="eastAsia"/>
          <w:color w:val="auto"/>
          <w:szCs w:val="24"/>
          <w:highlight w:val="none"/>
        </w:rPr>
        <w:t>第二部分：商务评审S</w:t>
      </w:r>
      <w:bookmarkEnd w:id="274"/>
      <w:r>
        <w:rPr>
          <w:rFonts w:hint="eastAsia" w:ascii="宋体" w:hAnsi="宋体" w:cs="宋体"/>
          <w:color w:val="auto"/>
          <w:szCs w:val="24"/>
          <w:highlight w:val="none"/>
        </w:rPr>
        <w:t>（</w:t>
      </w:r>
      <w:r>
        <w:rPr>
          <w:rFonts w:hint="eastAsia"/>
          <w:color w:val="auto"/>
          <w:szCs w:val="24"/>
          <w:highlight w:val="none"/>
        </w:rPr>
        <w:t>满分100分，</w:t>
      </w:r>
      <w:r>
        <w:rPr>
          <w:rFonts w:hint="eastAsia" w:ascii="宋体" w:hAnsi="宋体" w:cs="宋体"/>
          <w:color w:val="auto"/>
          <w:szCs w:val="24"/>
          <w:highlight w:val="none"/>
        </w:rPr>
        <w:t>占总分权重的</w:t>
      </w:r>
      <w:r>
        <w:rPr>
          <w:rFonts w:hint="eastAsia" w:ascii="宋体" w:hAnsi="宋体" w:cs="宋体"/>
          <w:color w:val="auto"/>
          <w:szCs w:val="24"/>
          <w:highlight w:val="none"/>
          <w:lang w:val="en-US" w:eastAsia="zh-CN"/>
        </w:rPr>
        <w:t>7</w:t>
      </w:r>
      <w:r>
        <w:rPr>
          <w:rFonts w:hint="eastAsia" w:ascii="宋体" w:hAnsi="宋体" w:cs="宋体"/>
          <w:color w:val="auto"/>
          <w:szCs w:val="24"/>
          <w:highlight w:val="none"/>
        </w:rPr>
        <w:t>0%）</w:t>
      </w:r>
    </w:p>
    <w:p w14:paraId="343E828D">
      <w:pPr>
        <w:spacing w:line="360" w:lineRule="auto"/>
        <w:ind w:firstLine="240" w:firstLineChars="100"/>
        <w:rPr>
          <w:color w:val="auto"/>
          <w:sz w:val="24"/>
          <w:szCs w:val="24"/>
          <w:highlight w:val="none"/>
        </w:rPr>
      </w:pPr>
      <w:r>
        <w:rPr>
          <w:rFonts w:hint="eastAsia" w:ascii="宋体" w:cs="宋体"/>
          <w:color w:val="auto"/>
          <w:sz w:val="24"/>
          <w:szCs w:val="24"/>
          <w:highlight w:val="none"/>
        </w:rPr>
        <w:t>商务评标按综合评分细则对投标人的有效投标报价进行统一计算评分，由评标委员会按综合评分因素及标准要求集体判定评分。以下评分均以投标报价作为评分依据。</w:t>
      </w:r>
    </w:p>
    <w:p w14:paraId="21E8E784">
      <w:pPr>
        <w:tabs>
          <w:tab w:val="left" w:pos="-720"/>
        </w:tabs>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报价得分以投标总价计算。</w:t>
      </w:r>
    </w:p>
    <w:p w14:paraId="67059D78">
      <w:pPr>
        <w:tabs>
          <w:tab w:val="left" w:pos="-720"/>
        </w:tabs>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评标基准价由评标委员会计算、复核并签字确认。除计算差错外，确认后的评标基准价在本次招标期间保持不变。计算差错，仅限于以下两种情况：</w:t>
      </w:r>
    </w:p>
    <w:p w14:paraId="452AECED">
      <w:pPr>
        <w:tabs>
          <w:tab w:val="left" w:pos="-720"/>
        </w:tabs>
        <w:spacing w:line="360" w:lineRule="auto"/>
        <w:ind w:firstLine="480"/>
        <w:rPr>
          <w:rFonts w:ascii="宋体" w:hAnsi="宋体" w:cs="宋体"/>
          <w:color w:val="auto"/>
          <w:sz w:val="24"/>
          <w:szCs w:val="24"/>
          <w:highlight w:val="none"/>
        </w:rPr>
      </w:pPr>
      <w:r>
        <w:rPr>
          <w:rFonts w:hint="eastAsia" w:ascii="宋体" w:hAnsi="宋体" w:cs="宋体"/>
          <w:color w:val="auto"/>
          <w:sz w:val="24"/>
          <w:szCs w:val="24"/>
          <w:highlight w:val="none"/>
        </w:rPr>
        <w:t>（1）纯算术性四则运算差错；</w:t>
      </w:r>
    </w:p>
    <w:p w14:paraId="683DFCAC">
      <w:pPr>
        <w:tabs>
          <w:tab w:val="left" w:pos="-720"/>
        </w:tabs>
        <w:spacing w:line="360" w:lineRule="auto"/>
        <w:ind w:firstLine="480"/>
        <w:rPr>
          <w:rFonts w:hint="eastAsia" w:ascii="宋体" w:cs="宋体"/>
          <w:color w:val="auto"/>
          <w:sz w:val="24"/>
          <w:szCs w:val="24"/>
          <w:highlight w:val="none"/>
        </w:rPr>
      </w:pPr>
      <w:r>
        <w:rPr>
          <w:rFonts w:hint="eastAsia" w:ascii="宋体" w:hAnsi="宋体" w:cs="宋体"/>
          <w:color w:val="auto"/>
          <w:sz w:val="24"/>
          <w:szCs w:val="24"/>
          <w:highlight w:val="none"/>
        </w:rPr>
        <w:t>（2）未按约定的计算方法，多计或少计投标人报价。由于评标差错，导致否决投标错误，重新评标纠正等其他情况，不属于计算差错。</w:t>
      </w:r>
    </w:p>
    <w:p w14:paraId="593FFDC2">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1.最佳报价：</w:t>
      </w:r>
    </w:p>
    <w:p w14:paraId="500CAF12">
      <w:pPr>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（1）当有效投标人≥5家时，去掉最高价后所有有效投标价的算术平均值与最低报价的二次平均值为最佳报价；</w:t>
      </w:r>
    </w:p>
    <w:p w14:paraId="02C1E18A">
      <w:pPr>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（2）当有效投标人数量＜5家时，所有有效投标价的算术平均值与最低报价的二次平均值为最佳报价；</w:t>
      </w:r>
    </w:p>
    <w:p w14:paraId="7FCCDC48">
      <w:pPr>
        <w:snapToGrid w:val="0"/>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（3）当最佳报价低于风险控制价时，风险控制价即作为最佳报价。</w:t>
      </w:r>
    </w:p>
    <w:p w14:paraId="089E4FB5">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2.价格得分：</w:t>
      </w:r>
    </w:p>
    <w:p w14:paraId="1DA496F8">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（1）投标评标报价等于最佳报价值时，得满分</w:t>
      </w:r>
      <w:r>
        <w:rPr>
          <w:rFonts w:hint="eastAsia" w:ascii="宋体" w:hAnsi="宋体" w:cs="宋体"/>
          <w:color w:val="auto"/>
          <w:sz w:val="24"/>
          <w:highlight w:val="none"/>
          <w:lang w:val="en-US" w:eastAsia="zh-CN"/>
        </w:rPr>
        <w:t>100</w:t>
      </w:r>
      <w:r>
        <w:rPr>
          <w:rFonts w:hint="eastAsia" w:ascii="宋体" w:hAnsi="宋体" w:cs="宋体"/>
          <w:color w:val="auto"/>
          <w:sz w:val="24"/>
          <w:highlight w:val="none"/>
        </w:rPr>
        <w:t>分；</w:t>
      </w:r>
    </w:p>
    <w:p w14:paraId="2F715519">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（2）投标评标报价低于最佳报价值的价格得分：</w:t>
      </w:r>
      <w:r>
        <w:rPr>
          <w:rFonts w:hint="eastAsia" w:ascii="宋体" w:hAnsi="宋体" w:cs="宋体"/>
          <w:color w:val="auto"/>
          <w:sz w:val="24"/>
          <w:highlight w:val="none"/>
          <w:lang w:val="en-US" w:eastAsia="zh-CN"/>
        </w:rPr>
        <w:t>100</w:t>
      </w:r>
      <w:r>
        <w:rPr>
          <w:rFonts w:hint="eastAsia" w:ascii="宋体" w:hAnsi="宋体" w:cs="宋体"/>
          <w:color w:val="auto"/>
          <w:sz w:val="24"/>
          <w:highlight w:val="none"/>
        </w:rPr>
        <w:t>-（最佳报价-投标评标报价）/最佳报价×</w:t>
      </w:r>
      <w:r>
        <w:rPr>
          <w:rFonts w:hint="eastAsia" w:ascii="宋体" w:hAnsi="宋体" w:cs="宋体"/>
          <w:color w:val="auto"/>
          <w:sz w:val="24"/>
          <w:highlight w:val="none"/>
          <w:lang w:val="en-US" w:eastAsia="zh-CN"/>
        </w:rPr>
        <w:t>0.5</w:t>
      </w:r>
      <w:r>
        <w:rPr>
          <w:rFonts w:hint="eastAsia" w:ascii="宋体" w:hAnsi="宋体" w:cs="宋体"/>
          <w:color w:val="auto"/>
          <w:sz w:val="24"/>
          <w:highlight w:val="none"/>
        </w:rPr>
        <w:t>×100。</w:t>
      </w:r>
    </w:p>
    <w:p w14:paraId="54F8A45F">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（3）投标评标报价高于最佳报价值的价格得分：</w:t>
      </w:r>
      <w:r>
        <w:rPr>
          <w:rFonts w:hint="eastAsia" w:ascii="宋体" w:hAnsi="宋体" w:cs="宋体"/>
          <w:color w:val="auto"/>
          <w:sz w:val="24"/>
          <w:highlight w:val="none"/>
          <w:lang w:val="en-US" w:eastAsia="zh-CN"/>
        </w:rPr>
        <w:t>100</w:t>
      </w:r>
      <w:r>
        <w:rPr>
          <w:rFonts w:hint="eastAsia" w:ascii="宋体" w:hAnsi="宋体" w:cs="宋体"/>
          <w:color w:val="auto"/>
          <w:sz w:val="24"/>
          <w:highlight w:val="none"/>
        </w:rPr>
        <w:t>-（投标评标报价-最佳报价）/最佳报价×</w:t>
      </w:r>
      <w:r>
        <w:rPr>
          <w:rFonts w:hint="eastAsia" w:ascii="宋体" w:hAnsi="宋体" w:cs="宋体"/>
          <w:color w:val="auto"/>
          <w:sz w:val="24"/>
          <w:highlight w:val="none"/>
          <w:lang w:val="en-US" w:eastAsia="zh-CN"/>
        </w:rPr>
        <w:t>1</w:t>
      </w:r>
      <w:r>
        <w:rPr>
          <w:rFonts w:hint="eastAsia" w:ascii="宋体" w:hAnsi="宋体" w:cs="宋体"/>
          <w:color w:val="auto"/>
          <w:sz w:val="24"/>
          <w:highlight w:val="none"/>
        </w:rPr>
        <w:t>×100。</w:t>
      </w:r>
    </w:p>
    <w:p w14:paraId="06D1D692">
      <w:pPr>
        <w:adjustRightInd w:val="0"/>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（4）当投标评标报价低于风险控制价时，在上述计算结果的基础上，再减去（风险控制价-投标评标报价）/风险控制价×2.0×100。</w:t>
      </w:r>
    </w:p>
    <w:p w14:paraId="78B0676F">
      <w:pPr>
        <w:adjustRightInd w:val="0"/>
        <w:snapToGrid w:val="0"/>
        <w:spacing w:line="360" w:lineRule="auto"/>
        <w:ind w:firstLine="480" w:firstLineChars="200"/>
        <w:rPr>
          <w:color w:val="auto"/>
          <w:highlight w:val="none"/>
        </w:rPr>
      </w:pPr>
      <w:r>
        <w:rPr>
          <w:rFonts w:hint="eastAsia" w:ascii="宋体" w:hAnsi="宋体" w:cs="宋体"/>
          <w:color w:val="auto"/>
          <w:sz w:val="24"/>
          <w:highlight w:val="none"/>
        </w:rPr>
        <w:t>以上结果四舍五入小数点后保留2位。</w:t>
      </w:r>
    </w:p>
    <w:p w14:paraId="30B42F55">
      <w:pPr>
        <w:pStyle w:val="5"/>
        <w:spacing w:line="360" w:lineRule="auto"/>
        <w:rPr>
          <w:rFonts w:hint="eastAsia"/>
          <w:color w:val="auto"/>
          <w:sz w:val="24"/>
          <w:szCs w:val="24"/>
          <w:highlight w:val="none"/>
        </w:rPr>
      </w:pPr>
      <w:bookmarkStart w:id="275" w:name="_Toc66271724"/>
      <w:bookmarkStart w:id="276" w:name="_Toc70405629"/>
      <w:bookmarkStart w:id="277" w:name="_Toc126133822"/>
      <w:bookmarkStart w:id="278" w:name="_Toc66593748"/>
      <w:bookmarkStart w:id="279" w:name="_Toc81286313"/>
      <w:bookmarkStart w:id="280" w:name="_Toc81790603"/>
      <w:bookmarkStart w:id="281" w:name="_Toc113257360"/>
      <w:bookmarkStart w:id="282" w:name="_Toc72846814"/>
      <w:r>
        <w:rPr>
          <w:rFonts w:hint="eastAsia"/>
          <w:color w:val="auto"/>
          <w:sz w:val="24"/>
          <w:szCs w:val="24"/>
          <w:highlight w:val="none"/>
        </w:rPr>
        <w:t>6. 中标</w:t>
      </w:r>
      <w:bookmarkEnd w:id="275"/>
      <w:bookmarkEnd w:id="276"/>
      <w:bookmarkEnd w:id="277"/>
      <w:bookmarkEnd w:id="278"/>
      <w:bookmarkEnd w:id="279"/>
      <w:bookmarkEnd w:id="280"/>
      <w:bookmarkEnd w:id="281"/>
      <w:r>
        <w:rPr>
          <w:rFonts w:hint="eastAsia"/>
          <w:color w:val="auto"/>
          <w:sz w:val="24"/>
          <w:szCs w:val="24"/>
          <w:highlight w:val="none"/>
        </w:rPr>
        <w:t>结果</w:t>
      </w:r>
      <w:bookmarkEnd w:id="282"/>
    </w:p>
    <w:p w14:paraId="6221A3EE">
      <w:pPr>
        <w:tabs>
          <w:tab w:val="left" w:pos="210"/>
        </w:tabs>
        <w:spacing w:line="360" w:lineRule="auto"/>
        <w:ind w:firstLine="480" w:firstLineChars="200"/>
        <w:rPr>
          <w:rFonts w:hint="eastAsia"/>
          <w:color w:val="auto"/>
          <w:sz w:val="24"/>
          <w:szCs w:val="24"/>
          <w:highlight w:val="none"/>
        </w:rPr>
      </w:pPr>
      <w:r>
        <w:rPr>
          <w:rFonts w:hint="eastAsia"/>
          <w:color w:val="auto"/>
          <w:sz w:val="24"/>
          <w:szCs w:val="24"/>
          <w:highlight w:val="none"/>
        </w:rPr>
        <w:t>评标报告由评标委员会全体成员签字。对评标结论持有异议的评标委员会成员可以用书面方式阐述不同意见和理由。评标委员会成员拒绝在评标报告上签字且不陈述其不同意见和理由的，视为同意评标结论。评标委员会将对此做出书面说明并记录在案。</w:t>
      </w:r>
    </w:p>
    <w:p w14:paraId="3F060AF6">
      <w:pPr>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rPr>
        <w:t>本次招标最后确定1家中标单位，如中标单位放弃中标资格、因不可抗力提出不能履行合同、在规定的期限内未能提交履约保证金的，或者被查实存在影响中标结果的违法行为等情形，不符合中标条件的，经招标人同意可以按评标综合评分排名次序依次补齐中标单位。</w:t>
      </w:r>
    </w:p>
    <w:p w14:paraId="2E461DDF">
      <w:pPr>
        <w:pStyle w:val="10"/>
        <w:rPr>
          <w:color w:val="auto"/>
          <w:highlight w:val="none"/>
        </w:rPr>
      </w:pPr>
    </w:p>
    <w:p w14:paraId="0B51B222">
      <w:pPr>
        <w:rPr>
          <w:color w:val="auto"/>
          <w:highlight w:val="none"/>
        </w:rPr>
      </w:pPr>
    </w:p>
    <w:p w14:paraId="627A5899">
      <w:pPr>
        <w:pStyle w:val="4"/>
        <w:spacing w:line="360" w:lineRule="auto"/>
        <w:rPr>
          <w:rFonts w:hint="eastAsia"/>
          <w:color w:val="auto"/>
          <w:kern w:val="0"/>
          <w:sz w:val="44"/>
          <w:highlight w:val="none"/>
        </w:rPr>
      </w:pPr>
      <w:r>
        <w:rPr>
          <w:rFonts w:ascii="宋体" w:hAnsi="宋体"/>
          <w:color w:val="auto"/>
          <w:sz w:val="24"/>
          <w:szCs w:val="24"/>
          <w:highlight w:val="none"/>
        </w:rPr>
        <w:br w:type="page"/>
      </w:r>
      <w:bookmarkStart w:id="283" w:name="_Toc72846815"/>
      <w:r>
        <w:rPr>
          <w:rFonts w:hint="eastAsia"/>
          <w:b w:val="0"/>
          <w:bCs w:val="0"/>
          <w:color w:val="auto"/>
          <w:kern w:val="0"/>
          <w:sz w:val="44"/>
          <w:highlight w:val="none"/>
        </w:rPr>
        <w:t>第四章  技术标准和要求</w:t>
      </w:r>
      <w:bookmarkEnd w:id="283"/>
    </w:p>
    <w:p w14:paraId="371BBBFD">
      <w:pPr>
        <w:rPr>
          <w:rFonts w:hint="eastAsia"/>
          <w:color w:val="auto"/>
          <w:highlight w:val="none"/>
        </w:rPr>
      </w:pPr>
    </w:p>
    <w:p w14:paraId="30FBC1AC">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一、项目概况：</w:t>
      </w:r>
    </w:p>
    <w:p w14:paraId="61A479DF">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浙江巨化化工矿业有限公司后塘弄尾矿库闭库工程，是为响应《浙江省应急管理厅浙江省财政厅关于印发〈浙江省深化尾矿库风险隐患治理实施方案〉的通知 (浙应急基础〔2023〕9 号)》文件精神而开展的重要项目。该尾矿库位于龙游县溪口镇灵山乡后塘弄，于 1998 年 12 月建成投入使用，服务于浙江巨化化工矿业有限公司的两个矿，历经多次改造升级 。目前，尾矿库已停用，尾砂堆积至 + 161m 标高，总坝高 31m，已用库容约 117 万 m³，属于四等库，且因下游 1km 范围内有居民点和重要设施，按三等库管理运行。由于其 “头顶库” 的特殊性质，为从根本上消除安全风险，保障下游居民生命财产安全，实施闭库工程迫在眉睫。</w:t>
      </w:r>
    </w:p>
    <w:p w14:paraId="4AB4BBA4">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项目资金来源为政府补贴和企业自筹，建设单位为浙江巨化化工矿业有限公司。本项目旨在通过科学合理的闭库设计与施工，使尾矿库闭库治理后符合国家有关法律、法规、标准和技术规范的要求，彻底消除安全隐患，有效防范化解尾矿库安全风险，同时注重环境保护和水土保持，实现区域的可持续发展。</w:t>
      </w:r>
    </w:p>
    <w:p w14:paraId="5555A08F">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二、招标内容</w:t>
      </w:r>
    </w:p>
    <w:p w14:paraId="7C1F312D">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浙江巨化化工矿业有限公司后塘弄尾矿库闭库工程</w:t>
      </w:r>
    </w:p>
    <w:p w14:paraId="435D1BB7">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三、主要工程内容</w:t>
      </w:r>
    </w:p>
    <w:p w14:paraId="4E0F4D64">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坝体工程：初期坝压坡加固施工，按照设计要求选用合格的筑坝石料，沿初期坝外坡进行压坡作业，控制压坡体外坡坡比、宽度、长度和顶部高程，确保施工质量达到设计标准，如石料湿抗压强度≥35Mpa，软化系数≥0.85 等 。在初期坝增设水平排渗孔，严格把控排渗孔的孔间距、孔深、孔径、坡度以及排渗管的材质和结构，保证排渗效果，施工顺序要符合要求，先于初期坝压坡加固施工，并做好后期维护 。</w:t>
      </w:r>
    </w:p>
    <w:p w14:paraId="7146B87F">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滩面整治工程：依据设计的开挖回填范围和坡度要求，对堆积子坝和坝前部分尾砂进行开挖与回填作业，调整滩面坡度，确保从库尾至坝前 30m 范围以及坝顶至坝前 30m 处均保持 1.5% 的坡度，总开挖尾砂量约 125000m³ 。采用干式回采方式，遵循 “由内到外，先库后坝，从上至下，单层开采” 原则，做好回采过程中的安全管理和环境保护措施，如防沉陷、降尘、排水等 。</w:t>
      </w:r>
    </w:p>
    <w:p w14:paraId="249C3535">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防排洪系统工程：对现有的排水井 + 涵管排洪系统进行封堵施工，采用双重封堵方案，确保封堵质量可靠，防止渗漏 。新建地表永久排水沟，包括 1#、2# 主排水明沟、次排水明沟和库周截洪沟，按照设计的断面尺寸、结构、坡降和长度进行施工，保证排水畅通，有效排除库区洪水 。修复库周截水沟，清理破碎部分并采用 C25 混凝土浇筑，恢复其排水功能 。</w:t>
      </w:r>
    </w:p>
    <w:p w14:paraId="4B0B0F5A">
      <w:pPr>
        <w:spacing w:line="360" w:lineRule="auto"/>
        <w:ind w:firstLine="240" w:firstLineChars="100"/>
        <w:rPr>
          <w:rFonts w:hint="eastAsia" w:ascii="宋体" w:hAnsi="宋体" w:cs="宋体"/>
          <w:color w:val="auto"/>
          <w:sz w:val="24"/>
          <w:szCs w:val="24"/>
          <w:highlight w:val="none"/>
        </w:rPr>
      </w:pPr>
      <w:r>
        <w:rPr>
          <w:rFonts w:hint="eastAsia" w:ascii="宋体" w:hAnsi="宋体" w:cs="宋体"/>
          <w:color w:val="auto"/>
          <w:sz w:val="24"/>
          <w:szCs w:val="24"/>
          <w:highlight w:val="none"/>
        </w:rPr>
        <w:t>覆土绿化及其他工程：在库内沉积滩面和尾矿坝外坡面进行覆土绿化施工，覆土厚度不小于 50cm，滩面压实度不小于 0.85，选用合适的草籽进行撒播和养护，防止风沙扬尘，保护生态环境 。完善或设置尾矿库堆积坝及其进场道路、库区进出口、排洪系统等位置的安全护栏，对重要地段实施封闭管理；对尾矿坝外坡进行定期巡查和维护，修复局部裸露坡面 。</w:t>
      </w:r>
    </w:p>
    <w:p w14:paraId="4D2436FB">
      <w:pPr>
        <w:rPr>
          <w:color w:val="auto"/>
          <w:highlight w:val="none"/>
        </w:rPr>
      </w:pPr>
    </w:p>
    <w:p w14:paraId="0D6DAD3B">
      <w:pPr>
        <w:pStyle w:val="30"/>
        <w:rPr>
          <w:color w:val="auto"/>
          <w:highlight w:val="none"/>
        </w:rPr>
      </w:pPr>
    </w:p>
    <w:p w14:paraId="1B8141A6">
      <w:pPr>
        <w:rPr>
          <w:rFonts w:hint="eastAsia"/>
          <w:color w:val="auto"/>
          <w:highlight w:val="none"/>
        </w:rPr>
      </w:pPr>
    </w:p>
    <w:p w14:paraId="367F4428">
      <w:pPr>
        <w:autoSpaceDE w:val="0"/>
        <w:autoSpaceDN w:val="0"/>
        <w:adjustRightInd w:val="0"/>
        <w:spacing w:line="520" w:lineRule="exact"/>
        <w:jc w:val="left"/>
        <w:rPr>
          <w:rFonts w:hint="eastAsia"/>
          <w:color w:val="auto"/>
          <w:kern w:val="0"/>
          <w:highlight w:val="none"/>
        </w:rPr>
      </w:pPr>
    </w:p>
    <w:p w14:paraId="1E8AFA22">
      <w:pPr>
        <w:pStyle w:val="4"/>
        <w:rPr>
          <w:rFonts w:hint="eastAsia" w:ascii="黑体" w:eastAsia="黑体"/>
          <w:b w:val="0"/>
          <w:color w:val="auto"/>
          <w:highlight w:val="none"/>
        </w:rPr>
      </w:pPr>
    </w:p>
    <w:p w14:paraId="7E61CDA6">
      <w:pPr>
        <w:rPr>
          <w:rFonts w:hint="eastAsia" w:ascii="黑体" w:eastAsia="黑体"/>
          <w:b w:val="0"/>
          <w:color w:val="auto"/>
          <w:highlight w:val="none"/>
        </w:rPr>
      </w:pPr>
    </w:p>
    <w:p w14:paraId="4DA5B1B9">
      <w:pPr>
        <w:rPr>
          <w:rFonts w:hint="eastAsia" w:ascii="黑体" w:eastAsia="黑体"/>
          <w:b w:val="0"/>
          <w:color w:val="auto"/>
          <w:highlight w:val="none"/>
        </w:rPr>
      </w:pPr>
    </w:p>
    <w:p w14:paraId="0CD6F533">
      <w:pPr>
        <w:rPr>
          <w:rFonts w:hint="eastAsia" w:ascii="黑体" w:eastAsia="黑体"/>
          <w:b w:val="0"/>
          <w:color w:val="auto"/>
          <w:highlight w:val="none"/>
        </w:rPr>
      </w:pPr>
    </w:p>
    <w:p w14:paraId="34CBD7D5">
      <w:pPr>
        <w:rPr>
          <w:rFonts w:hint="eastAsia" w:ascii="黑体" w:eastAsia="黑体"/>
          <w:b w:val="0"/>
          <w:color w:val="auto"/>
          <w:highlight w:val="none"/>
        </w:rPr>
      </w:pPr>
    </w:p>
    <w:p w14:paraId="77F2DE2D">
      <w:pPr>
        <w:rPr>
          <w:rFonts w:hint="eastAsia" w:ascii="黑体" w:eastAsia="黑体"/>
          <w:b w:val="0"/>
          <w:color w:val="auto"/>
          <w:highlight w:val="none"/>
        </w:rPr>
      </w:pPr>
    </w:p>
    <w:p w14:paraId="6B65272F">
      <w:pPr>
        <w:rPr>
          <w:rFonts w:hint="eastAsia" w:ascii="黑体" w:eastAsia="黑体"/>
          <w:b w:val="0"/>
          <w:color w:val="auto"/>
          <w:highlight w:val="none"/>
        </w:rPr>
      </w:pPr>
    </w:p>
    <w:p w14:paraId="60CC33F2">
      <w:pPr>
        <w:rPr>
          <w:rFonts w:hint="eastAsia" w:ascii="黑体" w:eastAsia="黑体"/>
          <w:b w:val="0"/>
          <w:color w:val="auto"/>
          <w:highlight w:val="none"/>
        </w:rPr>
      </w:pPr>
    </w:p>
    <w:p w14:paraId="243B9645">
      <w:pPr>
        <w:rPr>
          <w:rFonts w:hint="eastAsia" w:ascii="黑体" w:eastAsia="黑体"/>
          <w:b w:val="0"/>
          <w:color w:val="auto"/>
          <w:highlight w:val="none"/>
        </w:rPr>
      </w:pPr>
    </w:p>
    <w:p w14:paraId="0D6B3896">
      <w:pPr>
        <w:rPr>
          <w:rFonts w:hint="eastAsia" w:ascii="黑体" w:eastAsia="黑体"/>
          <w:b w:val="0"/>
          <w:color w:val="auto"/>
          <w:highlight w:val="none"/>
        </w:rPr>
      </w:pPr>
    </w:p>
    <w:p w14:paraId="18D8B0A3">
      <w:pPr>
        <w:rPr>
          <w:rFonts w:hint="eastAsia" w:ascii="黑体" w:eastAsia="黑体"/>
          <w:b w:val="0"/>
          <w:color w:val="auto"/>
          <w:highlight w:val="none"/>
        </w:rPr>
      </w:pPr>
    </w:p>
    <w:p w14:paraId="4018C469">
      <w:pPr>
        <w:rPr>
          <w:rFonts w:hint="eastAsia" w:ascii="黑体" w:eastAsia="黑体"/>
          <w:b w:val="0"/>
          <w:color w:val="auto"/>
          <w:highlight w:val="none"/>
        </w:rPr>
      </w:pPr>
    </w:p>
    <w:p w14:paraId="7F52E3F6">
      <w:pPr>
        <w:rPr>
          <w:rFonts w:hint="eastAsia" w:ascii="黑体" w:eastAsia="黑体"/>
          <w:b w:val="0"/>
          <w:color w:val="auto"/>
          <w:highlight w:val="none"/>
        </w:rPr>
      </w:pPr>
    </w:p>
    <w:p w14:paraId="20BE8844">
      <w:pPr>
        <w:rPr>
          <w:rFonts w:hint="eastAsia" w:ascii="黑体" w:eastAsia="黑体"/>
          <w:b w:val="0"/>
          <w:color w:val="auto"/>
          <w:highlight w:val="none"/>
        </w:rPr>
      </w:pPr>
    </w:p>
    <w:p w14:paraId="70F81767">
      <w:pPr>
        <w:rPr>
          <w:rFonts w:hint="eastAsia" w:ascii="黑体" w:eastAsia="黑体"/>
          <w:b/>
          <w:color w:val="auto"/>
          <w:highlight w:val="none"/>
        </w:rPr>
      </w:pPr>
    </w:p>
    <w:p w14:paraId="65F1F03B">
      <w:pPr>
        <w:pStyle w:val="4"/>
        <w:rPr>
          <w:rFonts w:hint="eastAsia" w:ascii="黑体" w:eastAsia="黑体"/>
          <w:b w:val="0"/>
          <w:color w:val="auto"/>
          <w:highlight w:val="none"/>
        </w:rPr>
      </w:pPr>
      <w:bookmarkStart w:id="284" w:name="_Toc72846700"/>
      <w:bookmarkStart w:id="285" w:name="_Toc72846851"/>
    </w:p>
    <w:p w14:paraId="376AE6C2">
      <w:pPr>
        <w:pStyle w:val="4"/>
        <w:rPr>
          <w:rFonts w:hint="eastAsia" w:asciiTheme="majorEastAsia" w:hAnsiTheme="majorEastAsia" w:eastAsiaTheme="majorEastAsia" w:cstheme="majorEastAsia"/>
          <w:color w:val="auto"/>
          <w:sz w:val="44"/>
          <w:szCs w:val="44"/>
          <w:highlight w:val="none"/>
        </w:rPr>
      </w:pPr>
      <w:r>
        <w:rPr>
          <w:rFonts w:hint="eastAsia" w:asciiTheme="majorEastAsia" w:hAnsiTheme="majorEastAsia" w:eastAsiaTheme="majorEastAsia" w:cstheme="majorEastAsia"/>
          <w:b w:val="0"/>
          <w:color w:val="auto"/>
          <w:sz w:val="44"/>
          <w:szCs w:val="44"/>
          <w:highlight w:val="none"/>
        </w:rPr>
        <w:t>第五章  投标文件格式</w:t>
      </w:r>
      <w:bookmarkEnd w:id="284"/>
      <w:bookmarkEnd w:id="285"/>
    </w:p>
    <w:p w14:paraId="003EAA93">
      <w:pPr>
        <w:rPr>
          <w:rFonts w:hint="eastAsia"/>
          <w:color w:val="auto"/>
          <w:highlight w:val="none"/>
        </w:rPr>
      </w:pPr>
    </w:p>
    <w:p w14:paraId="62FE84FD">
      <w:pPr>
        <w:jc w:val="center"/>
        <w:rPr>
          <w:rFonts w:hint="eastAsia"/>
          <w:color w:val="auto"/>
          <w:highlight w:val="none"/>
        </w:rPr>
      </w:pPr>
      <w:r>
        <w:rPr>
          <w:rFonts w:hint="eastAsia"/>
          <w:color w:val="auto"/>
          <w:sz w:val="44"/>
          <w:szCs w:val="44"/>
          <w:highlight w:val="none"/>
          <w:lang w:eastAsia="zh-CN"/>
        </w:rPr>
        <w:t>浙江巨化化工矿业有限公司后塘弄尾矿库闭库及恢复林业生产条件和森林覆盖项目</w:t>
      </w:r>
    </w:p>
    <w:p w14:paraId="2DBAC46F">
      <w:pPr>
        <w:rPr>
          <w:rFonts w:hint="eastAsia"/>
          <w:color w:val="auto"/>
          <w:highlight w:val="none"/>
        </w:rPr>
      </w:pPr>
    </w:p>
    <w:p w14:paraId="50FEEBF4">
      <w:pPr>
        <w:rPr>
          <w:rFonts w:hint="eastAsia"/>
          <w:color w:val="auto"/>
          <w:highlight w:val="none"/>
        </w:rPr>
      </w:pPr>
    </w:p>
    <w:p w14:paraId="36C90CF2">
      <w:pPr>
        <w:jc w:val="center"/>
        <w:rPr>
          <w:rFonts w:hint="eastAsia" w:ascii="宋体" w:hAnsi="宋体"/>
          <w:b/>
          <w:color w:val="auto"/>
          <w:sz w:val="72"/>
          <w:szCs w:val="72"/>
          <w:highlight w:val="none"/>
        </w:rPr>
      </w:pPr>
      <w:r>
        <w:rPr>
          <w:rFonts w:hint="eastAsia" w:ascii="宋体" w:hAnsi="宋体"/>
          <w:b/>
          <w:color w:val="auto"/>
          <w:spacing w:val="243"/>
          <w:kern w:val="0"/>
          <w:sz w:val="72"/>
          <w:szCs w:val="72"/>
          <w:highlight w:val="none"/>
          <w:fitText w:val="4338" w:id="487089417"/>
        </w:rPr>
        <w:t>投标文</w:t>
      </w:r>
      <w:r>
        <w:rPr>
          <w:rFonts w:hint="eastAsia" w:ascii="宋体" w:hAnsi="宋体"/>
          <w:b/>
          <w:color w:val="auto"/>
          <w:spacing w:val="0"/>
          <w:kern w:val="0"/>
          <w:sz w:val="72"/>
          <w:szCs w:val="72"/>
          <w:highlight w:val="none"/>
          <w:fitText w:val="4338" w:id="487089417"/>
        </w:rPr>
        <w:t>件</w:t>
      </w:r>
    </w:p>
    <w:p w14:paraId="54337209">
      <w:pPr>
        <w:spacing w:before="624" w:beforeLines="200" w:after="624" w:afterLines="200"/>
        <w:ind w:left="420" w:leftChars="200" w:firstLine="1407" w:firstLineChars="350"/>
        <w:rPr>
          <w:rFonts w:hint="eastAsia" w:ascii="宋体" w:hAnsi="宋体"/>
          <w:bCs/>
          <w:color w:val="auto"/>
          <w:spacing w:val="41"/>
          <w:kern w:val="0"/>
          <w:sz w:val="32"/>
          <w:szCs w:val="32"/>
          <w:highlight w:val="none"/>
        </w:rPr>
      </w:pPr>
      <w:r>
        <w:rPr>
          <w:rFonts w:hint="eastAsia" w:ascii="宋体" w:hAnsi="宋体"/>
          <w:bCs/>
          <w:color w:val="auto"/>
          <w:spacing w:val="41"/>
          <w:kern w:val="0"/>
          <w:sz w:val="32"/>
          <w:szCs w:val="32"/>
          <w:highlight w:val="none"/>
        </w:rPr>
        <w:t xml:space="preserve">  </w:t>
      </w:r>
      <w:r>
        <w:rPr>
          <w:rFonts w:hint="eastAsia" w:ascii="黑体" w:eastAsia="黑体"/>
          <w:color w:val="auto"/>
          <w:sz w:val="28"/>
          <w:szCs w:val="28"/>
          <w:highlight w:val="none"/>
        </w:rPr>
        <w:t>商务经济文件   / 技术资信文件</w:t>
      </w:r>
      <w:r>
        <w:rPr>
          <w:rFonts w:hint="eastAsia" w:ascii="宋体" w:hAnsi="宋体"/>
          <w:bCs/>
          <w:color w:val="auto"/>
          <w:spacing w:val="41"/>
          <w:kern w:val="0"/>
          <w:sz w:val="32"/>
          <w:szCs w:val="32"/>
          <w:highlight w:val="none"/>
        </w:rPr>
        <w:t xml:space="preserve">    </w:t>
      </w:r>
    </w:p>
    <w:p w14:paraId="314A63A1">
      <w:pPr>
        <w:spacing w:before="624" w:beforeLines="200" w:after="624" w:afterLines="200"/>
        <w:ind w:left="420" w:leftChars="200" w:firstLine="1407" w:firstLineChars="350"/>
        <w:rPr>
          <w:rFonts w:hint="eastAsia" w:ascii="宋体" w:hAnsi="宋体"/>
          <w:bCs/>
          <w:color w:val="auto"/>
          <w:spacing w:val="41"/>
          <w:kern w:val="0"/>
          <w:sz w:val="32"/>
          <w:szCs w:val="32"/>
          <w:highlight w:val="none"/>
        </w:rPr>
      </w:pPr>
      <w:r>
        <w:rPr>
          <w:rFonts w:hint="eastAsia" w:ascii="宋体" w:hAnsi="宋体"/>
          <w:bCs/>
          <w:color w:val="auto"/>
          <w:spacing w:val="41"/>
          <w:kern w:val="0"/>
          <w:sz w:val="32"/>
          <w:szCs w:val="32"/>
          <w:highlight w:val="none"/>
        </w:rPr>
        <w:t>招标编号：</w:t>
      </w:r>
    </w:p>
    <w:p w14:paraId="15489454">
      <w:pPr>
        <w:spacing w:before="624" w:beforeLines="200" w:after="624" w:afterLines="200"/>
        <w:ind w:left="420" w:leftChars="200" w:firstLine="1407" w:firstLineChars="350"/>
        <w:rPr>
          <w:rFonts w:hint="eastAsia" w:ascii="宋体" w:hAnsi="宋体"/>
          <w:b/>
          <w:color w:val="auto"/>
          <w:sz w:val="30"/>
          <w:highlight w:val="none"/>
        </w:rPr>
      </w:pPr>
      <w:r>
        <w:rPr>
          <w:rFonts w:hint="eastAsia" w:ascii="宋体" w:hAnsi="宋体"/>
          <w:bCs/>
          <w:color w:val="auto"/>
          <w:spacing w:val="41"/>
          <w:kern w:val="0"/>
          <w:sz w:val="32"/>
          <w:szCs w:val="32"/>
          <w:highlight w:val="none"/>
        </w:rPr>
        <w:t xml:space="preserve">    </w:t>
      </w:r>
    </w:p>
    <w:p w14:paraId="04D6E5C4">
      <w:pPr>
        <w:snapToGrid w:val="0"/>
        <w:spacing w:before="624" w:beforeLines="200" w:after="624" w:afterLines="200"/>
        <w:ind w:left="420" w:leftChars="200"/>
        <w:rPr>
          <w:rFonts w:hint="eastAsia" w:ascii="宋体" w:hAnsi="宋体"/>
          <w:b/>
          <w:color w:val="auto"/>
          <w:sz w:val="30"/>
          <w:highlight w:val="none"/>
        </w:rPr>
      </w:pPr>
      <w:r>
        <w:rPr>
          <w:rFonts w:hint="eastAsia" w:ascii="宋体" w:hAnsi="宋体"/>
          <w:b/>
          <w:color w:val="auto"/>
          <w:sz w:val="30"/>
          <w:highlight w:val="none"/>
        </w:rPr>
        <w:t>投标人(盖公章)：</w:t>
      </w:r>
      <w:r>
        <w:rPr>
          <w:rFonts w:hint="eastAsia" w:ascii="宋体" w:hAnsi="宋体"/>
          <w:b/>
          <w:color w:val="auto"/>
          <w:sz w:val="30"/>
          <w:highlight w:val="none"/>
          <w:u w:val="single"/>
        </w:rPr>
        <w:t xml:space="preserve">                          </w:t>
      </w:r>
      <w:r>
        <w:rPr>
          <w:rFonts w:hint="eastAsia" w:ascii="宋体" w:hAnsi="宋体"/>
          <w:b/>
          <w:color w:val="auto"/>
          <w:sz w:val="30"/>
          <w:highlight w:val="none"/>
          <w:u w:val="single"/>
        </w:rPr>
        <w:tab/>
      </w:r>
      <w:r>
        <w:rPr>
          <w:rFonts w:hint="eastAsia" w:ascii="宋体" w:hAnsi="宋体"/>
          <w:b/>
          <w:color w:val="auto"/>
          <w:sz w:val="30"/>
          <w:highlight w:val="none"/>
          <w:u w:val="single"/>
        </w:rPr>
        <w:t xml:space="preserve">  </w:t>
      </w:r>
    </w:p>
    <w:p w14:paraId="74AA6147">
      <w:pPr>
        <w:snapToGrid w:val="0"/>
        <w:spacing w:before="624" w:beforeLines="200" w:after="624" w:afterLines="200"/>
        <w:ind w:left="420" w:leftChars="200"/>
        <w:rPr>
          <w:rFonts w:hint="eastAsia" w:ascii="宋体" w:hAnsi="宋体"/>
          <w:b/>
          <w:color w:val="auto"/>
          <w:sz w:val="30"/>
          <w:highlight w:val="none"/>
        </w:rPr>
      </w:pPr>
      <w:r>
        <w:rPr>
          <w:rFonts w:hint="eastAsia" w:ascii="宋体" w:hAnsi="宋体"/>
          <w:b/>
          <w:color w:val="auto"/>
          <w:sz w:val="30"/>
          <w:highlight w:val="none"/>
        </w:rPr>
        <w:t>法 定 代 表 人</w:t>
      </w:r>
    </w:p>
    <w:p w14:paraId="419B7700">
      <w:pPr>
        <w:snapToGrid w:val="0"/>
        <w:spacing w:before="624" w:beforeLines="200" w:after="624" w:afterLines="200"/>
        <w:ind w:left="420" w:leftChars="200"/>
        <w:rPr>
          <w:rFonts w:hint="eastAsia" w:ascii="宋体" w:hAnsi="宋体"/>
          <w:b/>
          <w:color w:val="auto"/>
          <w:sz w:val="30"/>
          <w:highlight w:val="none"/>
        </w:rPr>
      </w:pPr>
      <w:r>
        <w:rPr>
          <w:rFonts w:hint="eastAsia" w:ascii="宋体" w:hAnsi="宋体"/>
          <w:b/>
          <w:color w:val="auto"/>
          <w:sz w:val="30"/>
          <w:highlight w:val="none"/>
        </w:rPr>
        <w:t>或其委托代理人(签字或盖章)：</w:t>
      </w:r>
      <w:r>
        <w:rPr>
          <w:rFonts w:hint="eastAsia" w:ascii="宋体" w:hAnsi="宋体"/>
          <w:b/>
          <w:color w:val="auto"/>
          <w:sz w:val="30"/>
          <w:highlight w:val="none"/>
          <w:u w:val="single"/>
        </w:rPr>
        <w:t xml:space="preserve">                 </w:t>
      </w:r>
    </w:p>
    <w:p w14:paraId="3D7A8BFA">
      <w:pPr>
        <w:autoSpaceDE w:val="0"/>
        <w:autoSpaceDN w:val="0"/>
        <w:adjustRightInd w:val="0"/>
        <w:spacing w:line="520" w:lineRule="exact"/>
        <w:ind w:firstLine="443" w:firstLineChars="147"/>
        <w:jc w:val="left"/>
        <w:rPr>
          <w:rFonts w:hint="eastAsia"/>
          <w:color w:val="auto"/>
          <w:kern w:val="0"/>
          <w:highlight w:val="none"/>
        </w:rPr>
      </w:pPr>
      <w:r>
        <w:rPr>
          <w:rFonts w:hint="eastAsia" w:ascii="宋体" w:hAnsi="宋体"/>
          <w:b/>
          <w:color w:val="auto"/>
          <w:sz w:val="30"/>
          <w:highlight w:val="none"/>
        </w:rPr>
        <w:t>日  期：</w:t>
      </w:r>
      <w:r>
        <w:rPr>
          <w:rFonts w:hint="eastAsia" w:ascii="宋体" w:hAnsi="宋体"/>
          <w:b/>
          <w:color w:val="auto"/>
          <w:sz w:val="30"/>
          <w:highlight w:val="none"/>
          <w:u w:val="single"/>
        </w:rPr>
        <w:t xml:space="preserve">      </w:t>
      </w:r>
      <w:r>
        <w:rPr>
          <w:rFonts w:hint="eastAsia" w:ascii="宋体" w:hAnsi="宋体"/>
          <w:b/>
          <w:color w:val="auto"/>
          <w:sz w:val="30"/>
          <w:highlight w:val="none"/>
        </w:rPr>
        <w:t xml:space="preserve"> 年</w:t>
      </w:r>
      <w:r>
        <w:rPr>
          <w:rFonts w:hint="eastAsia" w:ascii="宋体" w:hAnsi="宋体"/>
          <w:b/>
          <w:color w:val="auto"/>
          <w:sz w:val="30"/>
          <w:highlight w:val="none"/>
          <w:u w:val="single"/>
        </w:rPr>
        <w:t xml:space="preserve">     </w:t>
      </w:r>
      <w:r>
        <w:rPr>
          <w:rFonts w:hint="eastAsia" w:ascii="宋体" w:hAnsi="宋体"/>
          <w:b/>
          <w:color w:val="auto"/>
          <w:sz w:val="30"/>
          <w:highlight w:val="none"/>
        </w:rPr>
        <w:t xml:space="preserve"> 月</w:t>
      </w:r>
      <w:r>
        <w:rPr>
          <w:rFonts w:hint="eastAsia" w:ascii="宋体" w:hAnsi="宋体"/>
          <w:b/>
          <w:color w:val="auto"/>
          <w:sz w:val="30"/>
          <w:highlight w:val="none"/>
          <w:u w:val="single"/>
        </w:rPr>
        <w:t xml:space="preserve">     </w:t>
      </w:r>
      <w:r>
        <w:rPr>
          <w:rFonts w:hint="eastAsia" w:ascii="宋体" w:hAnsi="宋体"/>
          <w:b/>
          <w:color w:val="auto"/>
          <w:sz w:val="30"/>
          <w:highlight w:val="none"/>
        </w:rPr>
        <w:t>日</w:t>
      </w:r>
    </w:p>
    <w:p w14:paraId="49A6E6B4">
      <w:pPr>
        <w:pStyle w:val="5"/>
        <w:jc w:val="center"/>
        <w:rPr>
          <w:rFonts w:hint="eastAsia" w:ascii="宋体" w:hAnsi="宋体"/>
          <w:bCs w:val="0"/>
          <w:color w:val="auto"/>
          <w:kern w:val="0"/>
          <w:sz w:val="32"/>
          <w:highlight w:val="none"/>
        </w:rPr>
      </w:pPr>
      <w:r>
        <w:rPr>
          <w:b w:val="0"/>
          <w:color w:val="auto"/>
          <w:kern w:val="0"/>
          <w:sz w:val="36"/>
          <w:highlight w:val="none"/>
        </w:rPr>
        <w:br w:type="page"/>
      </w:r>
      <w:bookmarkStart w:id="286" w:name="_Toc61616136"/>
      <w:bookmarkStart w:id="287" w:name="_Toc72846852"/>
      <w:bookmarkStart w:id="288" w:name="_Toc18404972"/>
      <w:bookmarkStart w:id="289" w:name="_Toc72846701"/>
      <w:r>
        <w:rPr>
          <w:rFonts w:hint="eastAsia" w:ascii="宋体" w:hAnsi="宋体"/>
          <w:bCs w:val="0"/>
          <w:color w:val="auto"/>
          <w:kern w:val="0"/>
          <w:sz w:val="32"/>
          <w:highlight w:val="none"/>
        </w:rPr>
        <w:t>一、投标函及投标函附录</w:t>
      </w:r>
      <w:bookmarkEnd w:id="286"/>
      <w:bookmarkEnd w:id="287"/>
      <w:bookmarkEnd w:id="288"/>
      <w:bookmarkEnd w:id="289"/>
    </w:p>
    <w:p w14:paraId="037FF303">
      <w:pPr>
        <w:autoSpaceDE w:val="0"/>
        <w:autoSpaceDN w:val="0"/>
        <w:adjustRightInd w:val="0"/>
        <w:spacing w:line="520" w:lineRule="exact"/>
        <w:jc w:val="left"/>
        <w:rPr>
          <w:color w:val="auto"/>
          <w:kern w:val="0"/>
          <w:highlight w:val="none"/>
        </w:rPr>
      </w:pPr>
    </w:p>
    <w:p w14:paraId="35ACBC0A">
      <w:pPr>
        <w:autoSpaceDE/>
        <w:autoSpaceDN/>
        <w:adjustRightInd/>
        <w:spacing w:line="240" w:lineRule="auto"/>
        <w:jc w:val="center"/>
        <w:textAlignment w:val="auto"/>
        <w:rPr>
          <w:rFonts w:hint="eastAsia"/>
          <w:color w:val="auto"/>
          <w:kern w:val="0"/>
          <w:sz w:val="24"/>
          <w:szCs w:val="24"/>
          <w:highlight w:val="none"/>
        </w:rPr>
      </w:pPr>
      <w:r>
        <w:rPr>
          <w:rFonts w:hint="eastAsia"/>
          <w:b/>
          <w:color w:val="auto"/>
          <w:kern w:val="0"/>
          <w:sz w:val="24"/>
          <w:szCs w:val="24"/>
          <w:highlight w:val="none"/>
        </w:rPr>
        <w:t>（一）投  标  函</w:t>
      </w:r>
    </w:p>
    <w:p w14:paraId="51EDE8F4">
      <w:pPr>
        <w:autoSpaceDE w:val="0"/>
        <w:autoSpaceDN w:val="0"/>
        <w:adjustRightInd w:val="0"/>
        <w:spacing w:after="156" w:afterLines="50" w:line="440" w:lineRule="exact"/>
        <w:jc w:val="left"/>
        <w:textAlignment w:val="baseline"/>
        <w:rPr>
          <w:rFonts w:hint="eastAsia"/>
          <w:color w:val="auto"/>
          <w:kern w:val="0"/>
          <w:sz w:val="24"/>
          <w:szCs w:val="24"/>
          <w:highlight w:val="none"/>
        </w:rPr>
      </w:pPr>
      <w:r>
        <w:rPr>
          <w:rFonts w:hint="eastAsia"/>
          <w:color w:val="auto"/>
          <w:kern w:val="0"/>
          <w:sz w:val="24"/>
          <w:szCs w:val="24"/>
          <w:highlight w:val="none"/>
          <w:u w:val="single"/>
          <w:lang w:eastAsia="zh-CN"/>
        </w:rPr>
        <w:t>浙江巨化化工矿业有限公司</w:t>
      </w:r>
      <w:r>
        <w:rPr>
          <w:rFonts w:hint="eastAsia"/>
          <w:color w:val="auto"/>
          <w:kern w:val="0"/>
          <w:sz w:val="24"/>
          <w:szCs w:val="24"/>
          <w:highlight w:val="none"/>
        </w:rPr>
        <w:t>（招标人名称）：</w:t>
      </w:r>
    </w:p>
    <w:p w14:paraId="68E982C7">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1. 我方己仔细研究了</w:t>
      </w:r>
      <w:r>
        <w:rPr>
          <w:rFonts w:hint="eastAsia"/>
          <w:color w:val="auto"/>
          <w:kern w:val="0"/>
          <w:sz w:val="24"/>
          <w:szCs w:val="24"/>
          <w:highlight w:val="none"/>
          <w:u w:val="single"/>
        </w:rPr>
        <w:t xml:space="preserve">            </w:t>
      </w:r>
      <w:r>
        <w:rPr>
          <w:rFonts w:hint="eastAsia"/>
          <w:color w:val="auto"/>
          <w:kern w:val="0"/>
          <w:sz w:val="24"/>
          <w:szCs w:val="24"/>
          <w:highlight w:val="none"/>
        </w:rPr>
        <w:t>（项目名称）施工招标文件的全部内容，愿意以￥</w:t>
      </w:r>
      <w:r>
        <w:rPr>
          <w:rFonts w:hint="eastAsia"/>
          <w:color w:val="auto"/>
          <w:kern w:val="0"/>
          <w:sz w:val="24"/>
          <w:szCs w:val="24"/>
          <w:highlight w:val="none"/>
          <w:u w:val="single"/>
        </w:rPr>
        <w:t xml:space="preserve">       万元</w:t>
      </w:r>
      <w:r>
        <w:rPr>
          <w:rFonts w:hint="eastAsia"/>
          <w:color w:val="auto"/>
          <w:kern w:val="0"/>
          <w:sz w:val="24"/>
          <w:szCs w:val="24"/>
          <w:highlight w:val="none"/>
        </w:rPr>
        <w:t>的</w:t>
      </w:r>
      <w:r>
        <w:rPr>
          <w:rFonts w:hint="eastAsia" w:ascii="宋体" w:hAnsi="宋体"/>
          <w:b/>
          <w:bCs/>
          <w:color w:val="auto"/>
          <w:sz w:val="24"/>
          <w:szCs w:val="24"/>
          <w:highlight w:val="none"/>
        </w:rPr>
        <w:t>报价</w:t>
      </w:r>
      <w:r>
        <w:rPr>
          <w:rFonts w:hint="eastAsia"/>
          <w:color w:val="auto"/>
          <w:kern w:val="0"/>
          <w:sz w:val="24"/>
          <w:szCs w:val="24"/>
          <w:highlight w:val="none"/>
        </w:rPr>
        <w:t>，工期</w:t>
      </w:r>
      <w:r>
        <w:rPr>
          <w:rFonts w:hint="eastAsia"/>
          <w:color w:val="auto"/>
          <w:kern w:val="0"/>
          <w:sz w:val="24"/>
          <w:szCs w:val="24"/>
          <w:highlight w:val="none"/>
          <w:u w:val="single"/>
        </w:rPr>
        <w:t xml:space="preserve">        </w:t>
      </w:r>
      <w:r>
        <w:rPr>
          <w:rFonts w:hint="eastAsia"/>
          <w:color w:val="auto"/>
          <w:kern w:val="0"/>
          <w:sz w:val="24"/>
          <w:szCs w:val="24"/>
          <w:highlight w:val="none"/>
        </w:rPr>
        <w:t>，按合同约定实施和完成承包工程，修补工程中的任何缺陷，工程质量达到</w:t>
      </w:r>
      <w:r>
        <w:rPr>
          <w:rFonts w:hint="eastAsia"/>
          <w:color w:val="auto"/>
          <w:kern w:val="0"/>
          <w:sz w:val="24"/>
          <w:szCs w:val="24"/>
          <w:highlight w:val="none"/>
          <w:u w:val="single"/>
        </w:rPr>
        <w:t xml:space="preserve">                        </w:t>
      </w:r>
      <w:r>
        <w:rPr>
          <w:rFonts w:hint="eastAsia"/>
          <w:color w:val="auto"/>
          <w:kern w:val="0"/>
          <w:sz w:val="24"/>
          <w:szCs w:val="24"/>
          <w:highlight w:val="none"/>
        </w:rPr>
        <w:t>。</w:t>
      </w:r>
    </w:p>
    <w:p w14:paraId="0030DEDA">
      <w:pPr>
        <w:rPr>
          <w:rFonts w:hint="eastAsia"/>
          <w:color w:val="auto"/>
          <w:kern w:val="0"/>
          <w:sz w:val="24"/>
          <w:szCs w:val="24"/>
          <w:highlight w:val="none"/>
        </w:rPr>
      </w:pPr>
    </w:p>
    <w:p w14:paraId="04E855DA">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2. 我方承诺在投标有效期内不修改、撤销投标文件。</w:t>
      </w:r>
    </w:p>
    <w:p w14:paraId="5E8F51BE">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3. 随同本投标函提交投标保证金一份，金额为人民币（大写）</w:t>
      </w:r>
      <w:r>
        <w:rPr>
          <w:rFonts w:hint="eastAsia"/>
          <w:color w:val="auto"/>
          <w:kern w:val="0"/>
          <w:sz w:val="24"/>
          <w:szCs w:val="24"/>
          <w:highlight w:val="none"/>
          <w:u w:val="single"/>
        </w:rPr>
        <w:t xml:space="preserve">         </w:t>
      </w:r>
      <w:r>
        <w:rPr>
          <w:rFonts w:hint="eastAsia"/>
          <w:color w:val="auto"/>
          <w:kern w:val="0"/>
          <w:sz w:val="24"/>
          <w:szCs w:val="24"/>
          <w:highlight w:val="none"/>
        </w:rPr>
        <w:t>元（￥</w:t>
      </w:r>
      <w:r>
        <w:rPr>
          <w:rFonts w:hint="eastAsia"/>
          <w:color w:val="auto"/>
          <w:kern w:val="0"/>
          <w:sz w:val="24"/>
          <w:szCs w:val="24"/>
          <w:highlight w:val="none"/>
          <w:u w:val="single"/>
        </w:rPr>
        <w:t xml:space="preserve">       </w:t>
      </w:r>
      <w:r>
        <w:rPr>
          <w:rFonts w:hint="eastAsia"/>
          <w:color w:val="auto"/>
          <w:kern w:val="0"/>
          <w:sz w:val="24"/>
          <w:szCs w:val="24"/>
          <w:highlight w:val="none"/>
        </w:rPr>
        <w:t>）。</w:t>
      </w:r>
    </w:p>
    <w:p w14:paraId="503B00CC">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4. 如我方中标：</w:t>
      </w:r>
    </w:p>
    <w:p w14:paraId="4F531143">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（1）我方承诺在收到中标通知书后，在中标通知书规定的期限内与你方签订合同。</w:t>
      </w:r>
    </w:p>
    <w:p w14:paraId="1ACA8A22">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（2）随同本投标函递交的投标函附录属于合同文件的组成部分。</w:t>
      </w:r>
    </w:p>
    <w:p w14:paraId="0D4E03B9">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（3）我方承诺按照招标文件规定向你方递交履约担保。</w:t>
      </w:r>
    </w:p>
    <w:p w14:paraId="096CE118">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（4）我方承诺在合同约定的期限内完成并移交全部合同工程。</w:t>
      </w:r>
    </w:p>
    <w:p w14:paraId="045334A0">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5. 我方在此声明，所递交的投标文件及有关资料内容完整、真实和准确。</w:t>
      </w:r>
    </w:p>
    <w:p w14:paraId="1BAA089D">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6</w:t>
      </w:r>
      <w:r>
        <w:rPr>
          <w:color w:val="auto"/>
          <w:kern w:val="0"/>
          <w:sz w:val="24"/>
          <w:szCs w:val="24"/>
          <w:highlight w:val="none"/>
        </w:rPr>
        <w:t>.</w:t>
      </w:r>
      <w:r>
        <w:rPr>
          <w:rFonts w:hint="eastAsia"/>
          <w:color w:val="auto"/>
          <w:kern w:val="0"/>
          <w:sz w:val="24"/>
          <w:szCs w:val="24"/>
          <w:highlight w:val="none"/>
        </w:rPr>
        <w:t xml:space="preserve"> </w:t>
      </w:r>
      <w:r>
        <w:rPr>
          <w:rFonts w:hint="eastAsia"/>
          <w:color w:val="auto"/>
          <w:kern w:val="0"/>
          <w:sz w:val="24"/>
          <w:szCs w:val="24"/>
          <w:highlight w:val="none"/>
          <w:u w:val="single"/>
        </w:rPr>
        <w:t xml:space="preserve">                                       </w:t>
      </w:r>
      <w:r>
        <w:rPr>
          <w:rFonts w:hint="eastAsia"/>
          <w:color w:val="auto"/>
          <w:kern w:val="0"/>
          <w:sz w:val="24"/>
          <w:szCs w:val="24"/>
          <w:highlight w:val="none"/>
        </w:rPr>
        <w:t>（其他补充说明）。</w:t>
      </w:r>
    </w:p>
    <w:p w14:paraId="15CFDF2A">
      <w:pPr>
        <w:rPr>
          <w:rFonts w:hint="eastAsia"/>
          <w:color w:val="auto"/>
          <w:kern w:val="0"/>
          <w:sz w:val="24"/>
          <w:szCs w:val="24"/>
          <w:highlight w:val="none"/>
        </w:rPr>
      </w:pPr>
    </w:p>
    <w:p w14:paraId="42E62D04">
      <w:pPr>
        <w:rPr>
          <w:rFonts w:hint="eastAsia"/>
          <w:color w:val="auto"/>
          <w:kern w:val="0"/>
          <w:sz w:val="24"/>
          <w:szCs w:val="24"/>
          <w:highlight w:val="none"/>
        </w:rPr>
      </w:pPr>
    </w:p>
    <w:p w14:paraId="31C932E6">
      <w:pPr>
        <w:rPr>
          <w:rFonts w:hint="eastAsia"/>
          <w:color w:val="auto"/>
          <w:kern w:val="0"/>
          <w:sz w:val="24"/>
          <w:szCs w:val="24"/>
          <w:highlight w:val="none"/>
        </w:rPr>
      </w:pPr>
    </w:p>
    <w:p w14:paraId="4D89B2E4">
      <w:pPr>
        <w:autoSpaceDE w:val="0"/>
        <w:autoSpaceDN w:val="0"/>
        <w:adjustRightInd w:val="0"/>
        <w:spacing w:line="440" w:lineRule="exact"/>
        <w:jc w:val="right"/>
        <w:textAlignment w:val="baseline"/>
        <w:rPr>
          <w:rFonts w:hint="eastAsia"/>
          <w:color w:val="auto"/>
          <w:kern w:val="0"/>
          <w:sz w:val="24"/>
          <w:szCs w:val="24"/>
          <w:highlight w:val="none"/>
        </w:rPr>
      </w:pPr>
      <w:r>
        <w:rPr>
          <w:rFonts w:hint="eastAsia"/>
          <w:color w:val="auto"/>
          <w:kern w:val="0"/>
          <w:sz w:val="24"/>
          <w:szCs w:val="24"/>
          <w:highlight w:val="none"/>
        </w:rPr>
        <w:t>投 标 人：</w:t>
      </w:r>
      <w:r>
        <w:rPr>
          <w:rFonts w:hint="eastAsia"/>
          <w:color w:val="auto"/>
          <w:kern w:val="0"/>
          <w:sz w:val="24"/>
          <w:szCs w:val="24"/>
          <w:highlight w:val="none"/>
          <w:u w:val="single"/>
        </w:rPr>
        <w:t xml:space="preserve">                        </w:t>
      </w:r>
      <w:r>
        <w:rPr>
          <w:rFonts w:hint="eastAsia"/>
          <w:color w:val="auto"/>
          <w:kern w:val="0"/>
          <w:sz w:val="24"/>
          <w:szCs w:val="24"/>
          <w:highlight w:val="none"/>
        </w:rPr>
        <w:t>（盖单位章）</w:t>
      </w:r>
    </w:p>
    <w:p w14:paraId="5E688BB3">
      <w:pPr>
        <w:autoSpaceDE w:val="0"/>
        <w:autoSpaceDN w:val="0"/>
        <w:adjustRightInd w:val="0"/>
        <w:spacing w:line="440" w:lineRule="exact"/>
        <w:jc w:val="right"/>
        <w:textAlignment w:val="baseline"/>
        <w:rPr>
          <w:rFonts w:hint="eastAsia"/>
          <w:color w:val="auto"/>
          <w:kern w:val="0"/>
          <w:sz w:val="24"/>
          <w:szCs w:val="24"/>
          <w:highlight w:val="none"/>
        </w:rPr>
      </w:pPr>
      <w:r>
        <w:rPr>
          <w:rFonts w:hint="eastAsia"/>
          <w:color w:val="auto"/>
          <w:kern w:val="0"/>
          <w:sz w:val="24"/>
          <w:szCs w:val="24"/>
          <w:highlight w:val="none"/>
        </w:rPr>
        <w:t>法定代表人或其委托代理人：</w:t>
      </w:r>
      <w:r>
        <w:rPr>
          <w:rFonts w:hint="eastAsia"/>
          <w:color w:val="auto"/>
          <w:kern w:val="0"/>
          <w:sz w:val="24"/>
          <w:szCs w:val="24"/>
          <w:highlight w:val="none"/>
          <w:u w:val="single"/>
        </w:rPr>
        <w:t xml:space="preserve">            </w:t>
      </w:r>
      <w:r>
        <w:rPr>
          <w:rFonts w:hint="eastAsia"/>
          <w:color w:val="auto"/>
          <w:kern w:val="0"/>
          <w:sz w:val="24"/>
          <w:szCs w:val="24"/>
          <w:highlight w:val="none"/>
        </w:rPr>
        <w:t>（签字或盖章）</w:t>
      </w:r>
    </w:p>
    <w:p w14:paraId="2714BA0B">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地    址：</w:t>
      </w:r>
      <w:r>
        <w:rPr>
          <w:rFonts w:hint="eastAsia"/>
          <w:color w:val="auto"/>
          <w:kern w:val="0"/>
          <w:sz w:val="24"/>
          <w:szCs w:val="24"/>
          <w:highlight w:val="none"/>
          <w:u w:val="single"/>
        </w:rPr>
        <w:t xml:space="preserve">                                    </w:t>
      </w:r>
    </w:p>
    <w:p w14:paraId="3968EE39">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电    话：</w:t>
      </w:r>
      <w:r>
        <w:rPr>
          <w:rFonts w:hint="eastAsia"/>
          <w:color w:val="auto"/>
          <w:kern w:val="0"/>
          <w:sz w:val="24"/>
          <w:szCs w:val="24"/>
          <w:highlight w:val="none"/>
          <w:u w:val="single"/>
        </w:rPr>
        <w:t xml:space="preserve">                                    </w:t>
      </w:r>
    </w:p>
    <w:p w14:paraId="12381E8E">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传    真：</w:t>
      </w:r>
      <w:r>
        <w:rPr>
          <w:rFonts w:hint="eastAsia"/>
          <w:color w:val="auto"/>
          <w:kern w:val="0"/>
          <w:sz w:val="24"/>
          <w:szCs w:val="24"/>
          <w:highlight w:val="none"/>
          <w:u w:val="single"/>
        </w:rPr>
        <w:t xml:space="preserve">                                     </w:t>
      </w:r>
    </w:p>
    <w:p w14:paraId="7DA74731">
      <w:pPr>
        <w:autoSpaceDE w:val="0"/>
        <w:autoSpaceDN w:val="0"/>
        <w:adjustRightInd w:val="0"/>
        <w:spacing w:line="440" w:lineRule="exact"/>
        <w:jc w:val="left"/>
        <w:textAlignment w:val="baseline"/>
        <w:rPr>
          <w:rFonts w:hint="eastAsia"/>
          <w:color w:val="auto"/>
          <w:kern w:val="0"/>
          <w:sz w:val="24"/>
          <w:szCs w:val="24"/>
          <w:highlight w:val="none"/>
        </w:rPr>
      </w:pPr>
      <w:r>
        <w:rPr>
          <w:rFonts w:hint="eastAsia"/>
          <w:color w:val="auto"/>
          <w:kern w:val="0"/>
          <w:sz w:val="24"/>
          <w:szCs w:val="24"/>
          <w:highlight w:val="none"/>
        </w:rPr>
        <w:t xml:space="preserve">                                              邮政编码：</w:t>
      </w:r>
      <w:r>
        <w:rPr>
          <w:rFonts w:hint="eastAsia"/>
          <w:color w:val="auto"/>
          <w:kern w:val="0"/>
          <w:sz w:val="24"/>
          <w:szCs w:val="24"/>
          <w:highlight w:val="none"/>
          <w:u w:val="single"/>
        </w:rPr>
        <w:t xml:space="preserve">                                    </w:t>
      </w:r>
    </w:p>
    <w:p w14:paraId="7E9EA037">
      <w:pPr>
        <w:autoSpaceDE w:val="0"/>
        <w:autoSpaceDN w:val="0"/>
        <w:adjustRightInd w:val="0"/>
        <w:spacing w:before="312" w:beforeLines="100" w:line="440" w:lineRule="exact"/>
        <w:jc w:val="right"/>
        <w:textAlignment w:val="baseline"/>
        <w:rPr>
          <w:rFonts w:hint="eastAsia"/>
          <w:color w:val="auto"/>
          <w:kern w:val="0"/>
          <w:sz w:val="24"/>
          <w:szCs w:val="24"/>
          <w:highlight w:val="none"/>
        </w:rPr>
      </w:pPr>
      <w:r>
        <w:rPr>
          <w:rFonts w:hint="eastAsia"/>
          <w:color w:val="auto"/>
          <w:kern w:val="0"/>
          <w:sz w:val="24"/>
          <w:szCs w:val="24"/>
          <w:highlight w:val="none"/>
          <w:u w:val="single"/>
        </w:rPr>
        <w:t xml:space="preserve">         </w:t>
      </w:r>
      <w:r>
        <w:rPr>
          <w:rFonts w:hint="eastAsia"/>
          <w:color w:val="auto"/>
          <w:kern w:val="0"/>
          <w:sz w:val="24"/>
          <w:szCs w:val="24"/>
          <w:highlight w:val="none"/>
        </w:rPr>
        <w:t>年</w:t>
      </w:r>
      <w:r>
        <w:rPr>
          <w:rFonts w:hint="eastAsia"/>
          <w:color w:val="auto"/>
          <w:kern w:val="0"/>
          <w:sz w:val="24"/>
          <w:szCs w:val="24"/>
          <w:highlight w:val="none"/>
          <w:u w:val="single"/>
        </w:rPr>
        <w:t xml:space="preserve">     </w:t>
      </w:r>
      <w:r>
        <w:rPr>
          <w:rFonts w:hint="eastAsia"/>
          <w:color w:val="auto"/>
          <w:kern w:val="0"/>
          <w:sz w:val="24"/>
          <w:szCs w:val="24"/>
          <w:highlight w:val="none"/>
        </w:rPr>
        <w:t>月</w:t>
      </w:r>
      <w:r>
        <w:rPr>
          <w:rFonts w:hint="eastAsia"/>
          <w:color w:val="auto"/>
          <w:kern w:val="0"/>
          <w:sz w:val="24"/>
          <w:szCs w:val="24"/>
          <w:highlight w:val="none"/>
          <w:u w:val="single"/>
        </w:rPr>
        <w:t xml:space="preserve">     </w:t>
      </w:r>
      <w:r>
        <w:rPr>
          <w:rFonts w:hint="eastAsia"/>
          <w:color w:val="auto"/>
          <w:kern w:val="0"/>
          <w:sz w:val="24"/>
          <w:szCs w:val="24"/>
          <w:highlight w:val="none"/>
        </w:rPr>
        <w:t>日</w:t>
      </w:r>
    </w:p>
    <w:p w14:paraId="5A1E09E7">
      <w:pPr>
        <w:jc w:val="center"/>
        <w:rPr>
          <w:rFonts w:hint="eastAsia"/>
          <w:b/>
          <w:color w:val="auto"/>
          <w:kern w:val="0"/>
          <w:sz w:val="28"/>
          <w:szCs w:val="28"/>
          <w:highlight w:val="none"/>
        </w:rPr>
      </w:pPr>
      <w:r>
        <w:rPr>
          <w:color w:val="auto"/>
          <w:kern w:val="0"/>
          <w:sz w:val="24"/>
          <w:szCs w:val="24"/>
          <w:highlight w:val="none"/>
        </w:rPr>
        <w:br w:type="page"/>
      </w:r>
      <w:r>
        <w:rPr>
          <w:rFonts w:hint="eastAsia"/>
          <w:b/>
          <w:color w:val="auto"/>
          <w:kern w:val="0"/>
          <w:sz w:val="28"/>
          <w:szCs w:val="28"/>
          <w:highlight w:val="none"/>
        </w:rPr>
        <w:t>（二）投标函附录</w:t>
      </w:r>
    </w:p>
    <w:p w14:paraId="65E3EB92">
      <w:pPr>
        <w:rPr>
          <w:rFonts w:hint="eastAsia"/>
          <w:color w:val="auto"/>
          <w:kern w:val="0"/>
          <w:highlight w:val="none"/>
        </w:rPr>
      </w:pPr>
    </w:p>
    <w:tbl>
      <w:tblPr>
        <w:tblStyle w:val="21"/>
        <w:tblW w:w="93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985"/>
        <w:gridCol w:w="1648"/>
        <w:gridCol w:w="3030"/>
        <w:gridCol w:w="1987"/>
      </w:tblGrid>
      <w:tr w14:paraId="03B775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75" w:type="dxa"/>
            <w:noWrap w:val="0"/>
            <w:vAlign w:val="center"/>
          </w:tcPr>
          <w:p w14:paraId="35DBC732">
            <w:pPr>
              <w:autoSpaceDE w:val="0"/>
              <w:autoSpaceDN w:val="0"/>
              <w:adjustRightInd w:val="0"/>
              <w:spacing w:line="360" w:lineRule="auto"/>
              <w:jc w:val="center"/>
              <w:rPr>
                <w:rFonts w:hint="eastAsia"/>
                <w:b/>
                <w:color w:val="auto"/>
                <w:kern w:val="0"/>
                <w:sz w:val="24"/>
                <w:szCs w:val="24"/>
                <w:highlight w:val="none"/>
              </w:rPr>
            </w:pPr>
            <w:r>
              <w:rPr>
                <w:rFonts w:hint="eastAsia"/>
                <w:b/>
                <w:color w:val="auto"/>
                <w:kern w:val="0"/>
                <w:sz w:val="24"/>
                <w:szCs w:val="24"/>
                <w:highlight w:val="none"/>
              </w:rPr>
              <w:t>序号</w:t>
            </w:r>
          </w:p>
        </w:tc>
        <w:tc>
          <w:tcPr>
            <w:tcW w:w="1985" w:type="dxa"/>
            <w:noWrap w:val="0"/>
            <w:vAlign w:val="center"/>
          </w:tcPr>
          <w:p w14:paraId="46BAEB6E">
            <w:pPr>
              <w:autoSpaceDE w:val="0"/>
              <w:autoSpaceDN w:val="0"/>
              <w:adjustRightInd w:val="0"/>
              <w:spacing w:line="360" w:lineRule="auto"/>
              <w:jc w:val="center"/>
              <w:rPr>
                <w:rFonts w:hint="eastAsia"/>
                <w:b/>
                <w:color w:val="auto"/>
                <w:kern w:val="0"/>
                <w:sz w:val="24"/>
                <w:szCs w:val="24"/>
                <w:highlight w:val="none"/>
              </w:rPr>
            </w:pPr>
            <w:r>
              <w:rPr>
                <w:rFonts w:hint="eastAsia"/>
                <w:b/>
                <w:color w:val="auto"/>
                <w:kern w:val="0"/>
                <w:sz w:val="24"/>
                <w:szCs w:val="24"/>
                <w:highlight w:val="none"/>
              </w:rPr>
              <w:t>条款名称</w:t>
            </w:r>
          </w:p>
        </w:tc>
        <w:tc>
          <w:tcPr>
            <w:tcW w:w="1648" w:type="dxa"/>
            <w:noWrap w:val="0"/>
            <w:vAlign w:val="center"/>
          </w:tcPr>
          <w:p w14:paraId="5435ACDF">
            <w:pPr>
              <w:autoSpaceDE w:val="0"/>
              <w:autoSpaceDN w:val="0"/>
              <w:adjustRightInd w:val="0"/>
              <w:spacing w:line="360" w:lineRule="auto"/>
              <w:jc w:val="center"/>
              <w:rPr>
                <w:rFonts w:hint="eastAsia"/>
                <w:b/>
                <w:color w:val="auto"/>
                <w:kern w:val="0"/>
                <w:sz w:val="24"/>
                <w:szCs w:val="24"/>
                <w:highlight w:val="none"/>
              </w:rPr>
            </w:pPr>
            <w:r>
              <w:rPr>
                <w:rFonts w:hint="eastAsia"/>
                <w:b/>
                <w:color w:val="auto"/>
                <w:kern w:val="0"/>
                <w:sz w:val="24"/>
                <w:szCs w:val="24"/>
                <w:highlight w:val="none"/>
              </w:rPr>
              <w:t>合同条款号</w:t>
            </w:r>
          </w:p>
        </w:tc>
        <w:tc>
          <w:tcPr>
            <w:tcW w:w="3030" w:type="dxa"/>
            <w:noWrap w:val="0"/>
            <w:vAlign w:val="center"/>
          </w:tcPr>
          <w:p w14:paraId="7A855F48">
            <w:pPr>
              <w:autoSpaceDE w:val="0"/>
              <w:autoSpaceDN w:val="0"/>
              <w:adjustRightInd w:val="0"/>
              <w:spacing w:line="360" w:lineRule="auto"/>
              <w:jc w:val="center"/>
              <w:rPr>
                <w:rFonts w:hint="eastAsia"/>
                <w:b/>
                <w:color w:val="auto"/>
                <w:kern w:val="0"/>
                <w:sz w:val="24"/>
                <w:szCs w:val="24"/>
                <w:highlight w:val="none"/>
              </w:rPr>
            </w:pPr>
            <w:r>
              <w:rPr>
                <w:rFonts w:hint="eastAsia"/>
                <w:b/>
                <w:color w:val="auto"/>
                <w:kern w:val="0"/>
                <w:sz w:val="24"/>
                <w:szCs w:val="24"/>
                <w:highlight w:val="none"/>
              </w:rPr>
              <w:t>约定内容</w:t>
            </w:r>
          </w:p>
        </w:tc>
        <w:tc>
          <w:tcPr>
            <w:tcW w:w="1987" w:type="dxa"/>
            <w:noWrap w:val="0"/>
            <w:vAlign w:val="center"/>
          </w:tcPr>
          <w:p w14:paraId="6CDB5DDB">
            <w:pPr>
              <w:autoSpaceDE w:val="0"/>
              <w:autoSpaceDN w:val="0"/>
              <w:adjustRightInd w:val="0"/>
              <w:spacing w:line="360" w:lineRule="auto"/>
              <w:jc w:val="center"/>
              <w:rPr>
                <w:rFonts w:hint="eastAsia"/>
                <w:b/>
                <w:color w:val="auto"/>
                <w:kern w:val="0"/>
                <w:sz w:val="24"/>
                <w:szCs w:val="24"/>
                <w:highlight w:val="none"/>
              </w:rPr>
            </w:pPr>
            <w:r>
              <w:rPr>
                <w:rFonts w:hint="eastAsia"/>
                <w:b/>
                <w:color w:val="auto"/>
                <w:kern w:val="0"/>
                <w:sz w:val="24"/>
                <w:szCs w:val="24"/>
                <w:highlight w:val="none"/>
              </w:rPr>
              <w:t>备注</w:t>
            </w:r>
          </w:p>
        </w:tc>
      </w:tr>
      <w:tr w14:paraId="3FD8D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75" w:type="dxa"/>
            <w:noWrap w:val="0"/>
            <w:vAlign w:val="center"/>
          </w:tcPr>
          <w:p w14:paraId="22B3996A">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1</w:t>
            </w:r>
          </w:p>
        </w:tc>
        <w:tc>
          <w:tcPr>
            <w:tcW w:w="1985" w:type="dxa"/>
            <w:noWrap w:val="0"/>
            <w:vAlign w:val="center"/>
          </w:tcPr>
          <w:p w14:paraId="7E0A908D">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项目经理</w:t>
            </w:r>
          </w:p>
        </w:tc>
        <w:tc>
          <w:tcPr>
            <w:tcW w:w="1648" w:type="dxa"/>
            <w:noWrap w:val="0"/>
            <w:vAlign w:val="center"/>
          </w:tcPr>
          <w:p w14:paraId="3473BA08">
            <w:pPr>
              <w:autoSpaceDE w:val="0"/>
              <w:autoSpaceDN w:val="0"/>
              <w:adjustRightInd w:val="0"/>
              <w:spacing w:line="360" w:lineRule="auto"/>
              <w:jc w:val="center"/>
              <w:rPr>
                <w:rFonts w:hint="eastAsia"/>
                <w:color w:val="auto"/>
                <w:kern w:val="0"/>
                <w:sz w:val="24"/>
                <w:szCs w:val="24"/>
                <w:highlight w:val="none"/>
              </w:rPr>
            </w:pPr>
          </w:p>
        </w:tc>
        <w:tc>
          <w:tcPr>
            <w:tcW w:w="3030" w:type="dxa"/>
            <w:noWrap w:val="0"/>
            <w:vAlign w:val="center"/>
          </w:tcPr>
          <w:p w14:paraId="4BB2F63E">
            <w:pPr>
              <w:autoSpaceDE w:val="0"/>
              <w:autoSpaceDN w:val="0"/>
              <w:adjustRightInd w:val="0"/>
              <w:spacing w:line="360" w:lineRule="auto"/>
              <w:jc w:val="left"/>
              <w:rPr>
                <w:rFonts w:hint="eastAsia"/>
                <w:color w:val="auto"/>
                <w:kern w:val="0"/>
                <w:sz w:val="24"/>
                <w:szCs w:val="24"/>
                <w:highlight w:val="none"/>
              </w:rPr>
            </w:pPr>
            <w:r>
              <w:rPr>
                <w:rFonts w:hint="eastAsia"/>
                <w:color w:val="auto"/>
                <w:kern w:val="0"/>
                <w:sz w:val="24"/>
                <w:szCs w:val="24"/>
                <w:highlight w:val="none"/>
              </w:rPr>
              <w:t>姓名：</w:t>
            </w:r>
            <w:r>
              <w:rPr>
                <w:rFonts w:hint="eastAsia"/>
                <w:color w:val="auto"/>
                <w:kern w:val="0"/>
                <w:sz w:val="24"/>
                <w:szCs w:val="24"/>
                <w:highlight w:val="none"/>
                <w:u w:val="single"/>
              </w:rPr>
              <w:t xml:space="preserve">        </w:t>
            </w:r>
          </w:p>
        </w:tc>
        <w:tc>
          <w:tcPr>
            <w:tcW w:w="1987" w:type="dxa"/>
            <w:noWrap w:val="0"/>
            <w:vAlign w:val="center"/>
          </w:tcPr>
          <w:p w14:paraId="5625D050">
            <w:pPr>
              <w:autoSpaceDE w:val="0"/>
              <w:autoSpaceDN w:val="0"/>
              <w:adjustRightInd w:val="0"/>
              <w:spacing w:line="360" w:lineRule="auto"/>
              <w:jc w:val="center"/>
              <w:rPr>
                <w:rFonts w:hint="eastAsia"/>
                <w:color w:val="auto"/>
                <w:kern w:val="0"/>
                <w:sz w:val="24"/>
                <w:szCs w:val="24"/>
                <w:highlight w:val="none"/>
              </w:rPr>
            </w:pPr>
          </w:p>
        </w:tc>
      </w:tr>
      <w:tr w14:paraId="1DAA7B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1776818A">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2</w:t>
            </w:r>
          </w:p>
        </w:tc>
        <w:tc>
          <w:tcPr>
            <w:tcW w:w="1985" w:type="dxa"/>
            <w:noWrap w:val="0"/>
            <w:vAlign w:val="center"/>
          </w:tcPr>
          <w:p w14:paraId="2935AB0A">
            <w:pPr>
              <w:autoSpaceDE w:val="0"/>
              <w:autoSpaceDN w:val="0"/>
              <w:adjustRightInd w:val="0"/>
              <w:spacing w:line="360" w:lineRule="auto"/>
              <w:jc w:val="left"/>
              <w:rPr>
                <w:rFonts w:hint="eastAsia"/>
                <w:color w:val="auto"/>
                <w:kern w:val="0"/>
                <w:sz w:val="24"/>
                <w:szCs w:val="24"/>
                <w:highlight w:val="none"/>
              </w:rPr>
            </w:pPr>
            <w:r>
              <w:rPr>
                <w:rFonts w:hint="eastAsia"/>
                <w:color w:val="auto"/>
                <w:kern w:val="0"/>
                <w:sz w:val="24"/>
                <w:szCs w:val="24"/>
                <w:highlight w:val="none"/>
              </w:rPr>
              <w:t>施工总工期（包含施工准备期）</w:t>
            </w:r>
          </w:p>
        </w:tc>
        <w:tc>
          <w:tcPr>
            <w:tcW w:w="1648" w:type="dxa"/>
            <w:noWrap w:val="0"/>
            <w:vAlign w:val="center"/>
          </w:tcPr>
          <w:p w14:paraId="7F0D50EF">
            <w:pPr>
              <w:autoSpaceDE w:val="0"/>
              <w:autoSpaceDN w:val="0"/>
              <w:adjustRightInd w:val="0"/>
              <w:spacing w:line="360" w:lineRule="auto"/>
              <w:jc w:val="center"/>
              <w:rPr>
                <w:rFonts w:hint="eastAsia"/>
                <w:color w:val="auto"/>
                <w:kern w:val="0"/>
                <w:sz w:val="24"/>
                <w:szCs w:val="24"/>
                <w:highlight w:val="none"/>
              </w:rPr>
            </w:pPr>
          </w:p>
        </w:tc>
        <w:tc>
          <w:tcPr>
            <w:tcW w:w="3030" w:type="dxa"/>
            <w:noWrap w:val="0"/>
            <w:vAlign w:val="center"/>
          </w:tcPr>
          <w:p w14:paraId="78F95EE8">
            <w:pPr>
              <w:autoSpaceDE w:val="0"/>
              <w:autoSpaceDN w:val="0"/>
              <w:adjustRightInd w:val="0"/>
              <w:spacing w:line="360" w:lineRule="auto"/>
              <w:jc w:val="left"/>
              <w:rPr>
                <w:rFonts w:hint="eastAsia"/>
                <w:color w:val="auto"/>
                <w:kern w:val="0"/>
                <w:sz w:val="24"/>
                <w:szCs w:val="24"/>
                <w:highlight w:val="none"/>
              </w:rPr>
            </w:pPr>
          </w:p>
        </w:tc>
        <w:tc>
          <w:tcPr>
            <w:tcW w:w="1987" w:type="dxa"/>
            <w:noWrap w:val="0"/>
            <w:vAlign w:val="center"/>
          </w:tcPr>
          <w:p w14:paraId="2D1341D7">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按中标人投标文件承诺的工期执行</w:t>
            </w:r>
          </w:p>
        </w:tc>
      </w:tr>
      <w:tr w14:paraId="5C0DAB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noWrap w:val="0"/>
            <w:vAlign w:val="center"/>
          </w:tcPr>
          <w:p w14:paraId="45AF90EA">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3</w:t>
            </w:r>
          </w:p>
        </w:tc>
        <w:tc>
          <w:tcPr>
            <w:tcW w:w="1985" w:type="dxa"/>
            <w:noWrap w:val="0"/>
            <w:vAlign w:val="center"/>
          </w:tcPr>
          <w:p w14:paraId="07970FC2">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缺陷责任期</w:t>
            </w:r>
          </w:p>
        </w:tc>
        <w:tc>
          <w:tcPr>
            <w:tcW w:w="1648" w:type="dxa"/>
            <w:noWrap w:val="0"/>
            <w:vAlign w:val="center"/>
          </w:tcPr>
          <w:p w14:paraId="5A866B80">
            <w:pPr>
              <w:autoSpaceDE w:val="0"/>
              <w:autoSpaceDN w:val="0"/>
              <w:adjustRightInd w:val="0"/>
              <w:spacing w:line="360" w:lineRule="auto"/>
              <w:jc w:val="center"/>
              <w:rPr>
                <w:rFonts w:hint="eastAsia"/>
                <w:color w:val="auto"/>
                <w:kern w:val="0"/>
                <w:sz w:val="24"/>
                <w:szCs w:val="24"/>
                <w:highlight w:val="none"/>
              </w:rPr>
            </w:pPr>
          </w:p>
        </w:tc>
        <w:tc>
          <w:tcPr>
            <w:tcW w:w="3030" w:type="dxa"/>
            <w:noWrap w:val="0"/>
            <w:vAlign w:val="center"/>
          </w:tcPr>
          <w:p w14:paraId="434C67BD">
            <w:pPr>
              <w:autoSpaceDE w:val="0"/>
              <w:autoSpaceDN w:val="0"/>
              <w:adjustRightInd w:val="0"/>
              <w:spacing w:line="360" w:lineRule="auto"/>
              <w:jc w:val="left"/>
              <w:rPr>
                <w:rFonts w:hint="eastAsia"/>
                <w:color w:val="auto"/>
                <w:kern w:val="0"/>
                <w:sz w:val="24"/>
                <w:szCs w:val="24"/>
                <w:highlight w:val="none"/>
              </w:rPr>
            </w:pPr>
          </w:p>
        </w:tc>
        <w:tc>
          <w:tcPr>
            <w:tcW w:w="1987" w:type="dxa"/>
            <w:noWrap w:val="0"/>
            <w:vAlign w:val="center"/>
          </w:tcPr>
          <w:p w14:paraId="799709BC">
            <w:pPr>
              <w:autoSpaceDE w:val="0"/>
              <w:autoSpaceDN w:val="0"/>
              <w:adjustRightInd w:val="0"/>
              <w:spacing w:line="360" w:lineRule="auto"/>
              <w:jc w:val="center"/>
              <w:rPr>
                <w:rFonts w:hint="eastAsia"/>
                <w:color w:val="auto"/>
                <w:kern w:val="0"/>
                <w:sz w:val="24"/>
                <w:szCs w:val="24"/>
                <w:highlight w:val="none"/>
              </w:rPr>
            </w:pPr>
          </w:p>
        </w:tc>
      </w:tr>
      <w:tr w14:paraId="21637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noWrap w:val="0"/>
            <w:vAlign w:val="center"/>
          </w:tcPr>
          <w:p w14:paraId="04AEE61F">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4</w:t>
            </w:r>
          </w:p>
        </w:tc>
        <w:tc>
          <w:tcPr>
            <w:tcW w:w="1985" w:type="dxa"/>
            <w:noWrap w:val="0"/>
            <w:vAlign w:val="center"/>
          </w:tcPr>
          <w:p w14:paraId="1AD82655">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分包</w:t>
            </w:r>
          </w:p>
        </w:tc>
        <w:tc>
          <w:tcPr>
            <w:tcW w:w="1648" w:type="dxa"/>
            <w:noWrap w:val="0"/>
            <w:vAlign w:val="center"/>
          </w:tcPr>
          <w:p w14:paraId="0AE80D00">
            <w:pPr>
              <w:autoSpaceDE w:val="0"/>
              <w:autoSpaceDN w:val="0"/>
              <w:adjustRightInd w:val="0"/>
              <w:spacing w:line="360" w:lineRule="auto"/>
              <w:jc w:val="center"/>
              <w:rPr>
                <w:rFonts w:hint="eastAsia"/>
                <w:color w:val="auto"/>
                <w:kern w:val="0"/>
                <w:sz w:val="24"/>
                <w:szCs w:val="24"/>
                <w:highlight w:val="none"/>
              </w:rPr>
            </w:pPr>
          </w:p>
        </w:tc>
        <w:tc>
          <w:tcPr>
            <w:tcW w:w="3030" w:type="dxa"/>
            <w:noWrap w:val="0"/>
            <w:vAlign w:val="center"/>
          </w:tcPr>
          <w:p w14:paraId="5833C778">
            <w:pPr>
              <w:autoSpaceDE w:val="0"/>
              <w:autoSpaceDN w:val="0"/>
              <w:adjustRightInd w:val="0"/>
              <w:spacing w:line="360" w:lineRule="auto"/>
              <w:jc w:val="left"/>
              <w:rPr>
                <w:rFonts w:hint="eastAsia"/>
                <w:color w:val="auto"/>
                <w:kern w:val="0"/>
                <w:sz w:val="24"/>
                <w:szCs w:val="24"/>
                <w:highlight w:val="none"/>
              </w:rPr>
            </w:pPr>
            <w:r>
              <w:rPr>
                <w:rFonts w:hint="eastAsia"/>
                <w:color w:val="auto"/>
                <w:kern w:val="0"/>
                <w:sz w:val="24"/>
                <w:szCs w:val="24"/>
                <w:highlight w:val="none"/>
              </w:rPr>
              <w:t>不允许</w:t>
            </w:r>
          </w:p>
        </w:tc>
        <w:tc>
          <w:tcPr>
            <w:tcW w:w="1987" w:type="dxa"/>
            <w:noWrap w:val="0"/>
            <w:vAlign w:val="center"/>
          </w:tcPr>
          <w:p w14:paraId="23DA4C69">
            <w:pPr>
              <w:autoSpaceDE w:val="0"/>
              <w:autoSpaceDN w:val="0"/>
              <w:adjustRightInd w:val="0"/>
              <w:spacing w:line="360" w:lineRule="auto"/>
              <w:jc w:val="center"/>
              <w:rPr>
                <w:rFonts w:hint="eastAsia"/>
                <w:color w:val="auto"/>
                <w:kern w:val="0"/>
                <w:sz w:val="24"/>
                <w:szCs w:val="24"/>
                <w:highlight w:val="none"/>
              </w:rPr>
            </w:pPr>
          </w:p>
        </w:tc>
      </w:tr>
      <w:tr w14:paraId="6CF2D0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75" w:type="dxa"/>
            <w:noWrap w:val="0"/>
            <w:vAlign w:val="center"/>
          </w:tcPr>
          <w:p w14:paraId="4F6ED50A">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5</w:t>
            </w:r>
          </w:p>
        </w:tc>
        <w:tc>
          <w:tcPr>
            <w:tcW w:w="1985" w:type="dxa"/>
            <w:noWrap w:val="0"/>
            <w:vAlign w:val="center"/>
          </w:tcPr>
          <w:p w14:paraId="35F1416E">
            <w:pPr>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履约担保</w:t>
            </w:r>
          </w:p>
        </w:tc>
        <w:tc>
          <w:tcPr>
            <w:tcW w:w="1648" w:type="dxa"/>
            <w:noWrap w:val="0"/>
            <w:vAlign w:val="center"/>
          </w:tcPr>
          <w:p w14:paraId="5937EF04">
            <w:pPr>
              <w:spacing w:line="360" w:lineRule="auto"/>
              <w:jc w:val="center"/>
              <w:rPr>
                <w:rFonts w:hint="eastAsia" w:ascii="宋体" w:hAnsi="宋体"/>
                <w:color w:val="auto"/>
                <w:sz w:val="24"/>
                <w:szCs w:val="24"/>
                <w:highlight w:val="none"/>
              </w:rPr>
            </w:pPr>
          </w:p>
        </w:tc>
        <w:tc>
          <w:tcPr>
            <w:tcW w:w="3030" w:type="dxa"/>
            <w:noWrap w:val="0"/>
            <w:vAlign w:val="center"/>
          </w:tcPr>
          <w:p w14:paraId="5FA3FEDA">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合同价的(</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 xml:space="preserve">)% </w:t>
            </w:r>
          </w:p>
        </w:tc>
        <w:tc>
          <w:tcPr>
            <w:tcW w:w="1987" w:type="dxa"/>
            <w:noWrap w:val="0"/>
            <w:vAlign w:val="center"/>
          </w:tcPr>
          <w:p w14:paraId="02BCED29">
            <w:pPr>
              <w:spacing w:line="360" w:lineRule="auto"/>
              <w:jc w:val="center"/>
              <w:rPr>
                <w:rFonts w:hint="eastAsia" w:ascii="宋体" w:hAnsi="宋体"/>
                <w:color w:val="auto"/>
                <w:sz w:val="24"/>
                <w:szCs w:val="24"/>
                <w:highlight w:val="none"/>
              </w:rPr>
            </w:pPr>
          </w:p>
        </w:tc>
      </w:tr>
      <w:tr w14:paraId="383C2C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noWrap w:val="0"/>
            <w:vAlign w:val="center"/>
          </w:tcPr>
          <w:p w14:paraId="7CBEED26">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6</w:t>
            </w:r>
          </w:p>
        </w:tc>
        <w:tc>
          <w:tcPr>
            <w:tcW w:w="1985" w:type="dxa"/>
            <w:noWrap w:val="0"/>
            <w:vAlign w:val="center"/>
          </w:tcPr>
          <w:p w14:paraId="72636732">
            <w:pPr>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预付款</w:t>
            </w:r>
          </w:p>
        </w:tc>
        <w:tc>
          <w:tcPr>
            <w:tcW w:w="1648" w:type="dxa"/>
            <w:noWrap w:val="0"/>
            <w:vAlign w:val="center"/>
          </w:tcPr>
          <w:p w14:paraId="007BE21E">
            <w:pPr>
              <w:spacing w:line="360" w:lineRule="auto"/>
              <w:jc w:val="center"/>
              <w:rPr>
                <w:rFonts w:hint="eastAsia" w:ascii="宋体" w:hAnsi="宋体"/>
                <w:color w:val="auto"/>
                <w:sz w:val="24"/>
                <w:szCs w:val="24"/>
                <w:highlight w:val="none"/>
              </w:rPr>
            </w:pPr>
          </w:p>
        </w:tc>
        <w:tc>
          <w:tcPr>
            <w:tcW w:w="3030" w:type="dxa"/>
            <w:noWrap w:val="0"/>
            <w:vAlign w:val="center"/>
          </w:tcPr>
          <w:p w14:paraId="497D0AEA">
            <w:pPr>
              <w:spacing w:line="360" w:lineRule="auto"/>
              <w:jc w:val="center"/>
              <w:rPr>
                <w:rFonts w:hint="eastAsia" w:ascii="宋体" w:hAnsi="宋体"/>
                <w:color w:val="auto"/>
                <w:sz w:val="24"/>
                <w:szCs w:val="24"/>
                <w:highlight w:val="none"/>
              </w:rPr>
            </w:pPr>
          </w:p>
        </w:tc>
        <w:tc>
          <w:tcPr>
            <w:tcW w:w="1987" w:type="dxa"/>
            <w:noWrap w:val="0"/>
            <w:vAlign w:val="center"/>
          </w:tcPr>
          <w:p w14:paraId="04C4F2DE">
            <w:pPr>
              <w:spacing w:line="360" w:lineRule="auto"/>
              <w:jc w:val="center"/>
              <w:rPr>
                <w:rFonts w:hint="eastAsia" w:ascii="宋体" w:hAnsi="宋体"/>
                <w:color w:val="auto"/>
                <w:sz w:val="24"/>
                <w:szCs w:val="24"/>
                <w:highlight w:val="none"/>
              </w:rPr>
            </w:pPr>
          </w:p>
        </w:tc>
      </w:tr>
      <w:tr w14:paraId="6589BA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675" w:type="dxa"/>
            <w:noWrap w:val="0"/>
            <w:vAlign w:val="center"/>
          </w:tcPr>
          <w:p w14:paraId="6D719901">
            <w:pPr>
              <w:autoSpaceDE w:val="0"/>
              <w:autoSpaceDN w:val="0"/>
              <w:adjustRightInd w:val="0"/>
              <w:spacing w:line="360" w:lineRule="auto"/>
              <w:jc w:val="center"/>
              <w:rPr>
                <w:rFonts w:hint="eastAsia"/>
                <w:color w:val="auto"/>
                <w:kern w:val="0"/>
                <w:sz w:val="24"/>
                <w:szCs w:val="24"/>
                <w:highlight w:val="none"/>
              </w:rPr>
            </w:pPr>
            <w:r>
              <w:rPr>
                <w:rFonts w:hint="eastAsia"/>
                <w:color w:val="auto"/>
                <w:kern w:val="0"/>
                <w:sz w:val="24"/>
                <w:szCs w:val="24"/>
                <w:highlight w:val="none"/>
              </w:rPr>
              <w:t>7</w:t>
            </w:r>
          </w:p>
        </w:tc>
        <w:tc>
          <w:tcPr>
            <w:tcW w:w="1985" w:type="dxa"/>
            <w:noWrap w:val="0"/>
            <w:vAlign w:val="center"/>
          </w:tcPr>
          <w:p w14:paraId="0C81D9D7">
            <w:pPr>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质量标准</w:t>
            </w:r>
          </w:p>
        </w:tc>
        <w:tc>
          <w:tcPr>
            <w:tcW w:w="1648" w:type="dxa"/>
            <w:noWrap w:val="0"/>
            <w:vAlign w:val="center"/>
          </w:tcPr>
          <w:p w14:paraId="42DC4ADF">
            <w:pPr>
              <w:spacing w:line="360" w:lineRule="auto"/>
              <w:jc w:val="center"/>
              <w:rPr>
                <w:rFonts w:hint="eastAsia" w:ascii="宋体" w:hAnsi="宋体"/>
                <w:color w:val="auto"/>
                <w:sz w:val="24"/>
                <w:szCs w:val="24"/>
                <w:highlight w:val="none"/>
              </w:rPr>
            </w:pPr>
          </w:p>
        </w:tc>
        <w:tc>
          <w:tcPr>
            <w:tcW w:w="3030" w:type="dxa"/>
            <w:noWrap w:val="0"/>
            <w:vAlign w:val="center"/>
          </w:tcPr>
          <w:p w14:paraId="0CAC82E6">
            <w:pPr>
              <w:spacing w:line="360" w:lineRule="auto"/>
              <w:jc w:val="left"/>
              <w:rPr>
                <w:rFonts w:hint="eastAsia" w:ascii="宋体" w:hAnsi="宋体"/>
                <w:color w:val="auto"/>
                <w:sz w:val="24"/>
                <w:szCs w:val="24"/>
                <w:highlight w:val="none"/>
              </w:rPr>
            </w:pPr>
          </w:p>
        </w:tc>
        <w:tc>
          <w:tcPr>
            <w:tcW w:w="1987" w:type="dxa"/>
            <w:noWrap w:val="0"/>
            <w:vAlign w:val="center"/>
          </w:tcPr>
          <w:p w14:paraId="088125B7">
            <w:pPr>
              <w:spacing w:line="360" w:lineRule="auto"/>
              <w:jc w:val="center"/>
              <w:rPr>
                <w:rFonts w:hint="eastAsia" w:ascii="宋体" w:hAnsi="宋体"/>
                <w:color w:val="auto"/>
                <w:sz w:val="24"/>
                <w:szCs w:val="24"/>
                <w:highlight w:val="none"/>
              </w:rPr>
            </w:pPr>
          </w:p>
        </w:tc>
      </w:tr>
      <w:tr w14:paraId="474065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675" w:type="dxa"/>
            <w:noWrap w:val="0"/>
            <w:vAlign w:val="center"/>
          </w:tcPr>
          <w:p w14:paraId="6483F08B">
            <w:pPr>
              <w:autoSpaceDE w:val="0"/>
              <w:autoSpaceDN w:val="0"/>
              <w:adjustRightInd w:val="0"/>
              <w:spacing w:line="360" w:lineRule="auto"/>
              <w:jc w:val="center"/>
              <w:rPr>
                <w:rFonts w:hint="eastAsia"/>
                <w:color w:val="auto"/>
                <w:kern w:val="0"/>
                <w:sz w:val="24"/>
                <w:szCs w:val="24"/>
                <w:highlight w:val="none"/>
              </w:rPr>
            </w:pPr>
            <w:r>
              <w:rPr>
                <w:color w:val="auto"/>
                <w:kern w:val="0"/>
                <w:sz w:val="24"/>
                <w:szCs w:val="24"/>
                <w:highlight w:val="none"/>
              </w:rPr>
              <w:t>8</w:t>
            </w:r>
          </w:p>
        </w:tc>
        <w:tc>
          <w:tcPr>
            <w:tcW w:w="1985" w:type="dxa"/>
            <w:noWrap w:val="0"/>
            <w:vAlign w:val="center"/>
          </w:tcPr>
          <w:p w14:paraId="7DE55213">
            <w:pPr>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工程质量保修</w:t>
            </w:r>
          </w:p>
        </w:tc>
        <w:tc>
          <w:tcPr>
            <w:tcW w:w="1648" w:type="dxa"/>
            <w:noWrap w:val="0"/>
            <w:vAlign w:val="center"/>
          </w:tcPr>
          <w:p w14:paraId="0FE08C39">
            <w:pPr>
              <w:spacing w:line="360" w:lineRule="auto"/>
              <w:jc w:val="center"/>
              <w:rPr>
                <w:rFonts w:hint="eastAsia" w:ascii="宋体" w:hAnsi="宋体"/>
                <w:color w:val="auto"/>
                <w:sz w:val="24"/>
                <w:szCs w:val="24"/>
                <w:highlight w:val="none"/>
              </w:rPr>
            </w:pPr>
          </w:p>
        </w:tc>
        <w:tc>
          <w:tcPr>
            <w:tcW w:w="3030" w:type="dxa"/>
            <w:noWrap w:val="0"/>
            <w:vAlign w:val="center"/>
          </w:tcPr>
          <w:p w14:paraId="3F9A26E3">
            <w:pPr>
              <w:spacing w:line="360" w:lineRule="auto"/>
              <w:jc w:val="center"/>
              <w:rPr>
                <w:rFonts w:hint="eastAsia" w:ascii="宋体" w:hAnsi="宋体"/>
                <w:color w:val="auto"/>
                <w:sz w:val="24"/>
                <w:szCs w:val="24"/>
                <w:highlight w:val="none"/>
              </w:rPr>
            </w:pPr>
          </w:p>
        </w:tc>
        <w:tc>
          <w:tcPr>
            <w:tcW w:w="1987" w:type="dxa"/>
            <w:noWrap w:val="0"/>
            <w:vAlign w:val="center"/>
          </w:tcPr>
          <w:p w14:paraId="70940482">
            <w:pPr>
              <w:spacing w:line="360" w:lineRule="auto"/>
              <w:jc w:val="center"/>
              <w:rPr>
                <w:rFonts w:hint="eastAsia" w:ascii="宋体" w:hAnsi="宋体"/>
                <w:color w:val="auto"/>
                <w:sz w:val="24"/>
                <w:szCs w:val="24"/>
                <w:highlight w:val="none"/>
              </w:rPr>
            </w:pPr>
          </w:p>
        </w:tc>
      </w:tr>
    </w:tbl>
    <w:p w14:paraId="0BA2A27E">
      <w:pPr>
        <w:autoSpaceDE w:val="0"/>
        <w:autoSpaceDN w:val="0"/>
        <w:adjustRightInd w:val="0"/>
        <w:spacing w:line="520" w:lineRule="exact"/>
        <w:jc w:val="left"/>
        <w:rPr>
          <w:rFonts w:hint="eastAsia"/>
          <w:color w:val="auto"/>
          <w:kern w:val="0"/>
          <w:highlight w:val="none"/>
        </w:rPr>
      </w:pPr>
    </w:p>
    <w:p w14:paraId="3D40272E">
      <w:pPr>
        <w:autoSpaceDE w:val="0"/>
        <w:autoSpaceDN w:val="0"/>
        <w:adjustRightInd w:val="0"/>
        <w:rPr>
          <w:rFonts w:hint="eastAsia" w:ascii="宋体" w:hAnsi="宋体"/>
          <w:bCs/>
          <w:color w:val="auto"/>
          <w:kern w:val="0"/>
          <w:sz w:val="18"/>
          <w:szCs w:val="18"/>
          <w:highlight w:val="none"/>
        </w:rPr>
      </w:pPr>
      <w:bookmarkStart w:id="290" w:name="_Toc221274193"/>
    </w:p>
    <w:p w14:paraId="7A3E50B6">
      <w:pPr>
        <w:autoSpaceDE w:val="0"/>
        <w:autoSpaceDN w:val="0"/>
        <w:adjustRightInd w:val="0"/>
        <w:rPr>
          <w:rFonts w:hint="eastAsia" w:ascii="宋体" w:hAnsi="宋体"/>
          <w:bCs/>
          <w:color w:val="auto"/>
          <w:kern w:val="0"/>
          <w:sz w:val="18"/>
          <w:szCs w:val="18"/>
          <w:highlight w:val="none"/>
        </w:rPr>
      </w:pPr>
    </w:p>
    <w:p w14:paraId="56E72D26">
      <w:pPr>
        <w:autoSpaceDE w:val="0"/>
        <w:autoSpaceDN w:val="0"/>
        <w:adjustRightInd w:val="0"/>
        <w:rPr>
          <w:rFonts w:hint="eastAsia" w:ascii="宋体" w:hAnsi="宋体"/>
          <w:bCs/>
          <w:color w:val="auto"/>
          <w:kern w:val="0"/>
          <w:sz w:val="18"/>
          <w:szCs w:val="18"/>
          <w:highlight w:val="none"/>
        </w:rPr>
      </w:pPr>
    </w:p>
    <w:p w14:paraId="47356CA6">
      <w:pPr>
        <w:autoSpaceDE w:val="0"/>
        <w:autoSpaceDN w:val="0"/>
        <w:adjustRightInd w:val="0"/>
        <w:rPr>
          <w:rFonts w:hint="eastAsia" w:ascii="宋体" w:hAnsi="宋体"/>
          <w:bCs/>
          <w:color w:val="auto"/>
          <w:kern w:val="0"/>
          <w:sz w:val="18"/>
          <w:szCs w:val="18"/>
          <w:highlight w:val="none"/>
        </w:rPr>
      </w:pPr>
    </w:p>
    <w:p w14:paraId="2CC7C4FB">
      <w:pPr>
        <w:autoSpaceDE w:val="0"/>
        <w:autoSpaceDN w:val="0"/>
        <w:adjustRightInd w:val="0"/>
        <w:rPr>
          <w:rFonts w:hint="eastAsia" w:ascii="宋体" w:hAnsi="宋体"/>
          <w:bCs/>
          <w:color w:val="auto"/>
          <w:kern w:val="0"/>
          <w:sz w:val="18"/>
          <w:szCs w:val="18"/>
          <w:highlight w:val="none"/>
        </w:rPr>
      </w:pPr>
    </w:p>
    <w:p w14:paraId="6BDD0B21">
      <w:pPr>
        <w:autoSpaceDE w:val="0"/>
        <w:autoSpaceDN w:val="0"/>
        <w:adjustRightInd w:val="0"/>
        <w:rPr>
          <w:rFonts w:hint="eastAsia" w:ascii="宋体" w:hAnsi="宋体"/>
          <w:bCs/>
          <w:color w:val="auto"/>
          <w:kern w:val="0"/>
          <w:sz w:val="18"/>
          <w:szCs w:val="18"/>
          <w:highlight w:val="none"/>
        </w:rPr>
      </w:pPr>
    </w:p>
    <w:p w14:paraId="6840B3E3">
      <w:pPr>
        <w:autoSpaceDE w:val="0"/>
        <w:autoSpaceDN w:val="0"/>
        <w:adjustRightInd w:val="0"/>
        <w:rPr>
          <w:rFonts w:hint="eastAsia" w:ascii="宋体" w:hAnsi="宋体"/>
          <w:bCs/>
          <w:color w:val="auto"/>
          <w:kern w:val="0"/>
          <w:sz w:val="18"/>
          <w:szCs w:val="18"/>
          <w:highlight w:val="none"/>
        </w:rPr>
      </w:pPr>
    </w:p>
    <w:p w14:paraId="6279CABC">
      <w:pPr>
        <w:autoSpaceDE w:val="0"/>
        <w:autoSpaceDN w:val="0"/>
        <w:adjustRightInd w:val="0"/>
        <w:rPr>
          <w:rFonts w:hint="eastAsia" w:ascii="宋体" w:hAnsi="宋体"/>
          <w:bCs/>
          <w:color w:val="auto"/>
          <w:kern w:val="0"/>
          <w:sz w:val="18"/>
          <w:szCs w:val="18"/>
          <w:highlight w:val="none"/>
        </w:rPr>
      </w:pPr>
    </w:p>
    <w:p w14:paraId="182A8841">
      <w:pPr>
        <w:autoSpaceDE w:val="0"/>
        <w:autoSpaceDN w:val="0"/>
        <w:adjustRightInd w:val="0"/>
        <w:rPr>
          <w:rFonts w:hint="eastAsia" w:ascii="宋体" w:hAnsi="宋体"/>
          <w:bCs/>
          <w:color w:val="auto"/>
          <w:kern w:val="0"/>
          <w:sz w:val="18"/>
          <w:szCs w:val="18"/>
          <w:highlight w:val="none"/>
        </w:rPr>
      </w:pPr>
    </w:p>
    <w:p w14:paraId="2CDE665A">
      <w:pPr>
        <w:autoSpaceDE w:val="0"/>
        <w:autoSpaceDN w:val="0"/>
        <w:adjustRightInd w:val="0"/>
        <w:rPr>
          <w:rFonts w:ascii="宋体" w:hAnsi="宋体"/>
          <w:bCs/>
          <w:color w:val="auto"/>
          <w:kern w:val="0"/>
          <w:sz w:val="18"/>
          <w:szCs w:val="18"/>
          <w:highlight w:val="none"/>
        </w:rPr>
      </w:pPr>
    </w:p>
    <w:p w14:paraId="290AB290">
      <w:pPr>
        <w:autoSpaceDE w:val="0"/>
        <w:autoSpaceDN w:val="0"/>
        <w:adjustRightInd w:val="0"/>
        <w:rPr>
          <w:rFonts w:ascii="宋体" w:hAnsi="宋体"/>
          <w:bCs/>
          <w:color w:val="auto"/>
          <w:kern w:val="0"/>
          <w:sz w:val="18"/>
          <w:szCs w:val="18"/>
          <w:highlight w:val="none"/>
        </w:rPr>
      </w:pPr>
    </w:p>
    <w:p w14:paraId="56B1A52B">
      <w:pPr>
        <w:autoSpaceDE w:val="0"/>
        <w:autoSpaceDN w:val="0"/>
        <w:adjustRightInd w:val="0"/>
        <w:rPr>
          <w:rFonts w:ascii="宋体" w:hAnsi="宋体"/>
          <w:bCs/>
          <w:color w:val="auto"/>
          <w:kern w:val="0"/>
          <w:sz w:val="18"/>
          <w:szCs w:val="18"/>
          <w:highlight w:val="none"/>
        </w:rPr>
      </w:pPr>
    </w:p>
    <w:p w14:paraId="7571DEFB">
      <w:pPr>
        <w:autoSpaceDE w:val="0"/>
        <w:autoSpaceDN w:val="0"/>
        <w:adjustRightInd w:val="0"/>
        <w:rPr>
          <w:rFonts w:ascii="宋体" w:hAnsi="宋体"/>
          <w:bCs/>
          <w:color w:val="auto"/>
          <w:kern w:val="0"/>
          <w:sz w:val="18"/>
          <w:szCs w:val="18"/>
          <w:highlight w:val="none"/>
        </w:rPr>
      </w:pPr>
    </w:p>
    <w:p w14:paraId="0B13064D">
      <w:pPr>
        <w:autoSpaceDE w:val="0"/>
        <w:autoSpaceDN w:val="0"/>
        <w:adjustRightInd w:val="0"/>
        <w:rPr>
          <w:rFonts w:ascii="宋体" w:hAnsi="宋体"/>
          <w:bCs/>
          <w:color w:val="auto"/>
          <w:kern w:val="0"/>
          <w:sz w:val="18"/>
          <w:szCs w:val="18"/>
          <w:highlight w:val="none"/>
        </w:rPr>
      </w:pPr>
    </w:p>
    <w:p w14:paraId="0953877C">
      <w:pPr>
        <w:autoSpaceDE w:val="0"/>
        <w:autoSpaceDN w:val="0"/>
        <w:adjustRightInd w:val="0"/>
        <w:rPr>
          <w:rFonts w:ascii="宋体" w:hAnsi="宋体"/>
          <w:bCs/>
          <w:color w:val="auto"/>
          <w:kern w:val="0"/>
          <w:sz w:val="18"/>
          <w:szCs w:val="18"/>
          <w:highlight w:val="none"/>
        </w:rPr>
        <w:sectPr>
          <w:footerReference r:id="rId7" w:type="default"/>
          <w:pgSz w:w="11906" w:h="16838"/>
          <w:pgMar w:top="2098" w:right="1474" w:bottom="1984" w:left="1587" w:header="851" w:footer="1417" w:gutter="0"/>
          <w:pgBorders>
            <w:top w:val="none" w:sz="0" w:space="0"/>
            <w:left w:val="none" w:sz="0" w:space="0"/>
            <w:bottom w:val="none" w:sz="0" w:space="0"/>
            <w:right w:val="none" w:sz="0" w:space="0"/>
          </w:pgBorders>
          <w:pgNumType w:fmt="decimal"/>
          <w:cols w:space="720" w:num="1"/>
          <w:titlePg/>
          <w:rtlGutter w:val="0"/>
          <w:docGrid w:type="lines" w:linePitch="312" w:charSpace="0"/>
        </w:sectPr>
      </w:pPr>
    </w:p>
    <w:p w14:paraId="7CE63C9D">
      <w:pPr>
        <w:pStyle w:val="14"/>
        <w:ind w:left="0" w:leftChars="0" w:firstLine="0" w:firstLineChars="0"/>
        <w:rPr>
          <w:color w:val="auto"/>
          <w:highlight w:val="none"/>
        </w:rPr>
      </w:pPr>
    </w:p>
    <w:p w14:paraId="1E47A475">
      <w:pPr>
        <w:pStyle w:val="5"/>
        <w:jc w:val="center"/>
        <w:rPr>
          <w:rFonts w:hint="eastAsia" w:ascii="宋体" w:hAnsi="宋体"/>
          <w:bCs w:val="0"/>
          <w:color w:val="auto"/>
          <w:kern w:val="0"/>
          <w:sz w:val="32"/>
          <w:highlight w:val="none"/>
        </w:rPr>
      </w:pPr>
      <w:bookmarkStart w:id="291" w:name="_Toc72846702"/>
      <w:bookmarkStart w:id="292" w:name="_Toc18404973"/>
      <w:bookmarkStart w:id="293" w:name="_Toc72846853"/>
      <w:bookmarkStart w:id="294" w:name="_Toc61616137"/>
      <w:r>
        <w:rPr>
          <w:rFonts w:hint="eastAsia" w:ascii="宋体" w:hAnsi="宋体"/>
          <w:bCs w:val="0"/>
          <w:color w:val="auto"/>
          <w:kern w:val="0"/>
          <w:sz w:val="32"/>
          <w:highlight w:val="none"/>
        </w:rPr>
        <w:t>二、投标报价表格式</w:t>
      </w:r>
      <w:bookmarkEnd w:id="291"/>
      <w:bookmarkEnd w:id="292"/>
      <w:bookmarkEnd w:id="293"/>
      <w:bookmarkEnd w:id="294"/>
    </w:p>
    <w:p w14:paraId="5CC958BC">
      <w:pPr>
        <w:spacing w:line="500" w:lineRule="exact"/>
        <w:jc w:val="center"/>
        <w:rPr>
          <w:rFonts w:hint="eastAsia" w:ascii="宋体" w:hAnsi="宋体"/>
          <w:color w:val="auto"/>
          <w:sz w:val="28"/>
          <w:szCs w:val="28"/>
          <w:highlight w:val="none"/>
        </w:rPr>
      </w:pPr>
      <w:bookmarkStart w:id="295" w:name="_Toc315945292"/>
      <w:r>
        <w:rPr>
          <w:rFonts w:hint="eastAsia" w:ascii="宋体" w:hAnsi="宋体"/>
          <w:color w:val="auto"/>
          <w:sz w:val="28"/>
          <w:szCs w:val="28"/>
          <w:highlight w:val="none"/>
        </w:rPr>
        <w:t>工程量清单</w:t>
      </w:r>
    </w:p>
    <w:p w14:paraId="119B80CA">
      <w:pPr>
        <w:spacing w:line="560" w:lineRule="exact"/>
        <w:ind w:firstLine="600" w:firstLineChars="200"/>
        <w:rPr>
          <w:rFonts w:ascii="仿宋_GB2312" w:hAnsi="黑体" w:eastAsia="仿宋_GB2312"/>
          <w:color w:val="auto"/>
          <w:sz w:val="30"/>
          <w:szCs w:val="30"/>
          <w:highlight w:val="none"/>
        </w:rPr>
      </w:pPr>
      <w:r>
        <w:rPr>
          <w:rFonts w:hint="eastAsia" w:ascii="仿宋_GB2312" w:hAnsi="黑体" w:eastAsia="仿宋_GB2312"/>
          <w:color w:val="auto"/>
          <w:sz w:val="30"/>
          <w:szCs w:val="30"/>
          <w:highlight w:val="none"/>
        </w:rPr>
        <w:t>闭库销号整治工程主要包括堆积子坝及滩面开挖与回填调坡、初期坝加固、水平钻孔排渗工程、地表永久排洪沟、排水井涵管封堵、修复截排水沟、覆土植被等分部分项工程，详见表</w:t>
      </w:r>
      <w:r>
        <w:rPr>
          <w:rFonts w:hint="eastAsia" w:ascii="仿宋_GB2312" w:hAnsi="黑体" w:eastAsia="仿宋_GB2312"/>
          <w:color w:val="auto"/>
          <w:sz w:val="30"/>
          <w:szCs w:val="30"/>
          <w:highlight w:val="none"/>
          <w:lang w:val="en-US" w:eastAsia="zh-CN"/>
        </w:rPr>
        <w:t>1</w:t>
      </w:r>
      <w:r>
        <w:rPr>
          <w:rFonts w:hint="eastAsia" w:ascii="仿宋_GB2312" w:hAnsi="黑体" w:eastAsia="仿宋_GB2312"/>
          <w:color w:val="auto"/>
          <w:sz w:val="30"/>
          <w:szCs w:val="30"/>
          <w:highlight w:val="none"/>
        </w:rPr>
        <w:t>。</w:t>
      </w:r>
    </w:p>
    <w:p w14:paraId="37702B73">
      <w:pPr>
        <w:pStyle w:val="10"/>
        <w:spacing w:before="174"/>
        <w:jc w:val="center"/>
        <w:rPr>
          <w:rFonts w:hint="default" w:ascii="楷体_GB2312" w:hAnsi="楷体_GB2312" w:eastAsia="楷体_GB2312" w:cs="楷体_GB2312"/>
          <w:b w:val="0"/>
          <w:bCs w:val="0"/>
          <w:color w:val="auto"/>
          <w:sz w:val="28"/>
          <w:szCs w:val="28"/>
          <w:highlight w:val="none"/>
          <w:lang w:val="en-US" w:eastAsia="zh-CN"/>
        </w:rPr>
      </w:pPr>
      <w:r>
        <w:rPr>
          <w:rFonts w:hint="eastAsia" w:ascii="楷体_GB2312" w:hAnsi="楷体_GB2312" w:eastAsia="楷体_GB2312" w:cs="楷体_GB2312"/>
          <w:b w:val="0"/>
          <w:bCs w:val="0"/>
          <w:color w:val="auto"/>
          <w:spacing w:val="5"/>
          <w:sz w:val="28"/>
          <w:szCs w:val="28"/>
          <w:highlight w:val="none"/>
        </w:rPr>
        <w:t>表</w:t>
      </w:r>
      <w:r>
        <w:rPr>
          <w:rFonts w:hint="eastAsia" w:ascii="楷体_GB2312" w:hAnsi="楷体_GB2312" w:eastAsia="楷体_GB2312" w:cs="楷体_GB2312"/>
          <w:b w:val="0"/>
          <w:bCs w:val="0"/>
          <w:color w:val="auto"/>
          <w:spacing w:val="-33"/>
          <w:sz w:val="28"/>
          <w:szCs w:val="28"/>
          <w:highlight w:val="none"/>
        </w:rPr>
        <w:t xml:space="preserve"> </w:t>
      </w:r>
      <w:r>
        <w:rPr>
          <w:rFonts w:hint="eastAsia" w:ascii="楷体_GB2312" w:hAnsi="楷体_GB2312" w:eastAsia="楷体_GB2312" w:cs="楷体_GB2312"/>
          <w:b w:val="0"/>
          <w:bCs w:val="0"/>
          <w:color w:val="auto"/>
          <w:spacing w:val="-33"/>
          <w:sz w:val="28"/>
          <w:szCs w:val="28"/>
          <w:highlight w:val="none"/>
          <w:lang w:val="en-US" w:eastAsia="zh-CN"/>
        </w:rPr>
        <w:t>1</w:t>
      </w:r>
      <w:r>
        <w:rPr>
          <w:rFonts w:hint="eastAsia" w:ascii="楷体_GB2312" w:hAnsi="楷体_GB2312" w:eastAsia="楷体_GB2312" w:cs="楷体_GB2312"/>
          <w:b w:val="0"/>
          <w:bCs w:val="0"/>
          <w:color w:val="auto"/>
          <w:spacing w:val="5"/>
          <w:sz w:val="28"/>
          <w:szCs w:val="28"/>
          <w:highlight w:val="none"/>
        </w:rPr>
        <w:t xml:space="preserve">  </w:t>
      </w:r>
      <w:r>
        <w:rPr>
          <w:rFonts w:hint="eastAsia" w:ascii="楷体_GB2312" w:hAnsi="楷体_GB2312" w:eastAsia="楷体_GB2312" w:cs="楷体_GB2312"/>
          <w:b w:val="0"/>
          <w:bCs w:val="0"/>
          <w:color w:val="auto"/>
          <w:spacing w:val="5"/>
          <w:sz w:val="28"/>
          <w:szCs w:val="28"/>
          <w:highlight w:val="none"/>
          <w:lang w:val="en-US" w:eastAsia="zh-CN"/>
        </w:rPr>
        <w:t>一</w:t>
      </w:r>
      <w:r>
        <w:rPr>
          <w:rFonts w:hint="eastAsia" w:ascii="楷体_GB2312" w:hAnsi="楷体_GB2312" w:eastAsia="楷体_GB2312" w:cs="楷体_GB2312"/>
          <w:b w:val="0"/>
          <w:bCs w:val="0"/>
          <w:color w:val="auto"/>
          <w:spacing w:val="5"/>
          <w:sz w:val="28"/>
          <w:szCs w:val="28"/>
          <w:highlight w:val="none"/>
        </w:rPr>
        <w:t>期工程</w:t>
      </w:r>
      <w:r>
        <w:rPr>
          <w:rFonts w:hint="eastAsia" w:ascii="楷体_GB2312" w:hAnsi="楷体_GB2312" w:eastAsia="楷体_GB2312" w:cs="楷体_GB2312"/>
          <w:b w:val="0"/>
          <w:bCs w:val="0"/>
          <w:color w:val="auto"/>
          <w:spacing w:val="5"/>
          <w:sz w:val="28"/>
          <w:szCs w:val="28"/>
          <w:highlight w:val="none"/>
          <w:lang w:val="en-US" w:eastAsia="zh-CN"/>
        </w:rPr>
        <w:t>报价表</w:t>
      </w:r>
    </w:p>
    <w:tbl>
      <w:tblPr>
        <w:tblStyle w:val="2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98"/>
        <w:gridCol w:w="3223"/>
        <w:gridCol w:w="2162"/>
        <w:gridCol w:w="2162"/>
        <w:gridCol w:w="2162"/>
        <w:gridCol w:w="2165"/>
      </w:tblGrid>
      <w:tr w14:paraId="45745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900B9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序号</w:t>
            </w:r>
          </w:p>
        </w:tc>
        <w:tc>
          <w:tcPr>
            <w:tcW w:w="1242"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1EC0C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项目名称</w:t>
            </w:r>
          </w:p>
        </w:tc>
        <w:tc>
          <w:tcPr>
            <w:tcW w:w="83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5A8FB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计量</w:t>
            </w:r>
            <w:r>
              <w:rPr>
                <w:rFonts w:hint="eastAsia" w:ascii="仿宋_GB2312" w:hAnsi="仿宋_GB2312" w:eastAsia="仿宋_GB2312" w:cs="仿宋_GB2312"/>
                <w:i w:val="0"/>
                <w:iCs w:val="0"/>
                <w:color w:val="000000"/>
                <w:kern w:val="0"/>
                <w:sz w:val="32"/>
                <w:szCs w:val="32"/>
                <w:highlight w:val="none"/>
                <w:u w:val="none"/>
                <w:lang w:val="en-US" w:eastAsia="zh-CN" w:bidi="ar"/>
              </w:rPr>
              <w:br w:type="textWrapping"/>
            </w:r>
            <w:r>
              <w:rPr>
                <w:rFonts w:hint="eastAsia" w:ascii="仿宋_GB2312" w:hAnsi="仿宋_GB2312" w:eastAsia="仿宋_GB2312" w:cs="仿宋_GB2312"/>
                <w:i w:val="0"/>
                <w:iCs w:val="0"/>
                <w:color w:val="000000"/>
                <w:kern w:val="0"/>
                <w:sz w:val="32"/>
                <w:szCs w:val="32"/>
                <w:highlight w:val="none"/>
                <w:u w:val="none"/>
                <w:lang w:val="en-US" w:eastAsia="zh-CN" w:bidi="ar"/>
              </w:rPr>
              <w:t>单位</w:t>
            </w:r>
          </w:p>
        </w:tc>
        <w:tc>
          <w:tcPr>
            <w:tcW w:w="83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D7D95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工程量</w:t>
            </w:r>
          </w:p>
        </w:tc>
        <w:tc>
          <w:tcPr>
            <w:tcW w:w="1667"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F72D302">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金额(元)</w:t>
            </w:r>
          </w:p>
        </w:tc>
      </w:tr>
      <w:tr w14:paraId="6F34E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FCCF73">
            <w:pPr>
              <w:jc w:val="center"/>
              <w:rPr>
                <w:rFonts w:hint="eastAsia" w:ascii="仿宋_GB2312" w:hAnsi="仿宋_GB2312" w:eastAsia="仿宋_GB2312" w:cs="仿宋_GB2312"/>
                <w:i w:val="0"/>
                <w:iCs w:val="0"/>
                <w:color w:val="000000"/>
                <w:sz w:val="32"/>
                <w:szCs w:val="32"/>
                <w:highlight w:val="none"/>
                <w:u w:val="none"/>
              </w:rPr>
            </w:pPr>
          </w:p>
        </w:tc>
        <w:tc>
          <w:tcPr>
            <w:tcW w:w="124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CF1B5C">
            <w:pPr>
              <w:jc w:val="center"/>
              <w:rPr>
                <w:rFonts w:hint="eastAsia" w:ascii="仿宋_GB2312" w:hAnsi="仿宋_GB2312" w:eastAsia="仿宋_GB2312" w:cs="仿宋_GB2312"/>
                <w:i w:val="0"/>
                <w:iCs w:val="0"/>
                <w:color w:val="000000"/>
                <w:sz w:val="32"/>
                <w:szCs w:val="32"/>
                <w:highlight w:val="none"/>
                <w:u w:val="none"/>
              </w:rPr>
            </w:pPr>
          </w:p>
        </w:tc>
        <w:tc>
          <w:tcPr>
            <w:tcW w:w="83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43F3B8">
            <w:pPr>
              <w:jc w:val="center"/>
              <w:rPr>
                <w:rFonts w:hint="eastAsia" w:ascii="仿宋_GB2312" w:hAnsi="仿宋_GB2312" w:eastAsia="仿宋_GB2312" w:cs="仿宋_GB2312"/>
                <w:i w:val="0"/>
                <w:iCs w:val="0"/>
                <w:color w:val="000000"/>
                <w:sz w:val="32"/>
                <w:szCs w:val="32"/>
                <w:highlight w:val="none"/>
                <w:u w:val="none"/>
              </w:rPr>
            </w:pPr>
          </w:p>
        </w:tc>
        <w:tc>
          <w:tcPr>
            <w:tcW w:w="83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2C5331">
            <w:pPr>
              <w:jc w:val="center"/>
              <w:rPr>
                <w:rFonts w:hint="eastAsia" w:ascii="仿宋_GB2312" w:hAnsi="仿宋_GB2312" w:eastAsia="仿宋_GB2312" w:cs="仿宋_GB2312"/>
                <w:i w:val="0"/>
                <w:iCs w:val="0"/>
                <w:color w:val="000000"/>
                <w:sz w:val="32"/>
                <w:szCs w:val="32"/>
                <w:highlight w:val="none"/>
                <w:u w:val="none"/>
              </w:rPr>
            </w:pPr>
          </w:p>
        </w:tc>
        <w:tc>
          <w:tcPr>
            <w:tcW w:w="833"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D4F5B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综合单价</w:t>
            </w:r>
          </w:p>
        </w:tc>
        <w:tc>
          <w:tcPr>
            <w:tcW w:w="834"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8462FF">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合价</w:t>
            </w:r>
          </w:p>
        </w:tc>
      </w:tr>
      <w:tr w14:paraId="74ACB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783D8F">
            <w:pPr>
              <w:jc w:val="center"/>
              <w:rPr>
                <w:rFonts w:hint="eastAsia" w:ascii="仿宋_GB2312" w:hAnsi="仿宋_GB2312" w:eastAsia="仿宋_GB2312" w:cs="仿宋_GB2312"/>
                <w:i w:val="0"/>
                <w:iCs w:val="0"/>
                <w:color w:val="000000"/>
                <w:sz w:val="32"/>
                <w:szCs w:val="32"/>
                <w:highlight w:val="none"/>
                <w:u w:val="none"/>
              </w:rPr>
            </w:pPr>
          </w:p>
        </w:tc>
        <w:tc>
          <w:tcPr>
            <w:tcW w:w="1242"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CE01CF">
            <w:pPr>
              <w:jc w:val="center"/>
              <w:rPr>
                <w:rFonts w:hint="eastAsia" w:ascii="仿宋_GB2312" w:hAnsi="仿宋_GB2312" w:eastAsia="仿宋_GB2312" w:cs="仿宋_GB2312"/>
                <w:i w:val="0"/>
                <w:iCs w:val="0"/>
                <w:color w:val="000000"/>
                <w:sz w:val="32"/>
                <w:szCs w:val="32"/>
                <w:highlight w:val="none"/>
                <w:u w:val="none"/>
              </w:rPr>
            </w:pPr>
          </w:p>
        </w:tc>
        <w:tc>
          <w:tcPr>
            <w:tcW w:w="83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1217ED">
            <w:pPr>
              <w:jc w:val="center"/>
              <w:rPr>
                <w:rFonts w:hint="eastAsia" w:ascii="仿宋_GB2312" w:hAnsi="仿宋_GB2312" w:eastAsia="仿宋_GB2312" w:cs="仿宋_GB2312"/>
                <w:i w:val="0"/>
                <w:iCs w:val="0"/>
                <w:color w:val="000000"/>
                <w:sz w:val="32"/>
                <w:szCs w:val="32"/>
                <w:highlight w:val="none"/>
                <w:u w:val="none"/>
              </w:rPr>
            </w:pPr>
          </w:p>
        </w:tc>
        <w:tc>
          <w:tcPr>
            <w:tcW w:w="83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040791">
            <w:pPr>
              <w:jc w:val="center"/>
              <w:rPr>
                <w:rFonts w:hint="eastAsia" w:ascii="仿宋_GB2312" w:hAnsi="仿宋_GB2312" w:eastAsia="仿宋_GB2312" w:cs="仿宋_GB2312"/>
                <w:i w:val="0"/>
                <w:iCs w:val="0"/>
                <w:color w:val="000000"/>
                <w:sz w:val="32"/>
                <w:szCs w:val="32"/>
                <w:highlight w:val="none"/>
                <w:u w:val="none"/>
              </w:rPr>
            </w:pPr>
          </w:p>
        </w:tc>
        <w:tc>
          <w:tcPr>
            <w:tcW w:w="83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3E5343">
            <w:pPr>
              <w:jc w:val="center"/>
              <w:rPr>
                <w:rFonts w:hint="eastAsia" w:ascii="仿宋_GB2312" w:hAnsi="仿宋_GB2312" w:eastAsia="仿宋_GB2312" w:cs="仿宋_GB2312"/>
                <w:i w:val="0"/>
                <w:iCs w:val="0"/>
                <w:color w:val="000000"/>
                <w:sz w:val="32"/>
                <w:szCs w:val="32"/>
                <w:highlight w:val="none"/>
                <w:u w:val="none"/>
              </w:rPr>
            </w:pPr>
          </w:p>
        </w:tc>
        <w:tc>
          <w:tcPr>
            <w:tcW w:w="834"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1182E4">
            <w:pPr>
              <w:jc w:val="center"/>
              <w:rPr>
                <w:rFonts w:hint="eastAsia" w:ascii="仿宋_GB2312" w:hAnsi="仿宋_GB2312" w:eastAsia="仿宋_GB2312" w:cs="仿宋_GB2312"/>
                <w:i w:val="0"/>
                <w:iCs w:val="0"/>
                <w:color w:val="000000"/>
                <w:sz w:val="32"/>
                <w:szCs w:val="32"/>
                <w:highlight w:val="none"/>
                <w:u w:val="none"/>
              </w:rPr>
            </w:pPr>
          </w:p>
        </w:tc>
      </w:tr>
      <w:tr w14:paraId="041A5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925B1">
            <w:pPr>
              <w:jc w:val="left"/>
              <w:rPr>
                <w:rFonts w:hint="default" w:ascii="Times New Roman" w:hAnsi="Times New Roman" w:eastAsia="仿宋_GB2312" w:cs="Times New Roman"/>
                <w:i w:val="0"/>
                <w:iCs w:val="0"/>
                <w:color w:val="000000"/>
                <w:sz w:val="32"/>
                <w:szCs w:val="32"/>
                <w:highlight w:val="none"/>
                <w:u w:val="none"/>
              </w:rPr>
            </w:pP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11470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黑体" w:hAnsi="黑体" w:eastAsia="黑体" w:cs="黑体"/>
                <w:i w:val="0"/>
                <w:iCs w:val="0"/>
                <w:color w:val="000000"/>
                <w:kern w:val="0"/>
                <w:sz w:val="32"/>
                <w:szCs w:val="32"/>
                <w:highlight w:val="none"/>
                <w:u w:val="none"/>
                <w:lang w:val="en-US" w:eastAsia="zh-CN" w:bidi="ar"/>
              </w:rPr>
              <w:t>压坡加固工程</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65B326">
            <w:pPr>
              <w:jc w:val="left"/>
              <w:rPr>
                <w:rFonts w:hint="eastAsia" w:ascii="仿宋_GB2312" w:hAnsi="仿宋_GB2312" w:eastAsia="仿宋_GB2312" w:cs="仿宋_GB2312"/>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E0EF72">
            <w:pPr>
              <w:jc w:val="left"/>
              <w:rPr>
                <w:rFonts w:hint="eastAsia" w:ascii="仿宋_GB2312" w:hAnsi="仿宋_GB2312" w:eastAsia="仿宋_GB2312" w:cs="仿宋_GB2312"/>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745F75">
            <w:pPr>
              <w:jc w:val="center"/>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398380">
            <w:pPr>
              <w:jc w:val="right"/>
              <w:rPr>
                <w:rFonts w:hint="eastAsia" w:ascii="仿宋_GB2312" w:hAnsi="仿宋_GB2312" w:eastAsia="仿宋_GB2312" w:cs="仿宋_GB2312"/>
                <w:i w:val="0"/>
                <w:iCs w:val="0"/>
                <w:color w:val="000000"/>
                <w:sz w:val="32"/>
                <w:szCs w:val="32"/>
                <w:highlight w:val="none"/>
                <w:u w:val="none"/>
              </w:rPr>
            </w:pPr>
          </w:p>
        </w:tc>
      </w:tr>
      <w:tr w14:paraId="6B23A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602AD0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50686D">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堆筑土、石坝</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1D7B9B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m3</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BAF36B">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6948.19</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804E5A">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D6BA21">
            <w:pPr>
              <w:jc w:val="right"/>
              <w:rPr>
                <w:rFonts w:hint="eastAsia" w:ascii="仿宋_GB2312" w:hAnsi="仿宋_GB2312" w:eastAsia="仿宋_GB2312" w:cs="仿宋_GB2312"/>
                <w:i w:val="0"/>
                <w:iCs w:val="0"/>
                <w:color w:val="000000"/>
                <w:sz w:val="32"/>
                <w:szCs w:val="32"/>
                <w:highlight w:val="none"/>
                <w:u w:val="none"/>
              </w:rPr>
            </w:pPr>
          </w:p>
        </w:tc>
      </w:tr>
      <w:tr w14:paraId="3E29E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B324F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C2A6FD">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砌坝面护坡</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A4C4E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m3</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61368A9">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680.00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0A4F52">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4D0286">
            <w:pPr>
              <w:jc w:val="right"/>
              <w:rPr>
                <w:rFonts w:hint="eastAsia" w:ascii="仿宋_GB2312" w:hAnsi="仿宋_GB2312" w:eastAsia="仿宋_GB2312" w:cs="仿宋_GB2312"/>
                <w:i w:val="0"/>
                <w:iCs w:val="0"/>
                <w:color w:val="000000"/>
                <w:sz w:val="32"/>
                <w:szCs w:val="32"/>
                <w:highlight w:val="none"/>
                <w:u w:val="none"/>
              </w:rPr>
            </w:pPr>
          </w:p>
        </w:tc>
      </w:tr>
      <w:tr w14:paraId="09BAA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C4832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3</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3773E2">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泵房拆除</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A1D91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项</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0B51A8">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685410">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99DB25">
            <w:pPr>
              <w:jc w:val="right"/>
              <w:rPr>
                <w:rFonts w:hint="eastAsia" w:ascii="仿宋_GB2312" w:hAnsi="仿宋_GB2312" w:eastAsia="仿宋_GB2312" w:cs="仿宋_GB2312"/>
                <w:i w:val="0"/>
                <w:iCs w:val="0"/>
                <w:color w:val="000000"/>
                <w:sz w:val="32"/>
                <w:szCs w:val="32"/>
                <w:highlight w:val="none"/>
                <w:u w:val="none"/>
              </w:rPr>
            </w:pPr>
          </w:p>
        </w:tc>
      </w:tr>
      <w:tr w14:paraId="5613A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93568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4</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45F04C">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混凝土基础</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1CEA7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m3</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0B2DF3A">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15.00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04E85A">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091D58">
            <w:pPr>
              <w:jc w:val="right"/>
              <w:rPr>
                <w:rFonts w:hint="eastAsia" w:ascii="仿宋_GB2312" w:hAnsi="仿宋_GB2312" w:eastAsia="仿宋_GB2312" w:cs="仿宋_GB2312"/>
                <w:i w:val="0"/>
                <w:iCs w:val="0"/>
                <w:color w:val="000000"/>
                <w:sz w:val="32"/>
                <w:szCs w:val="32"/>
                <w:highlight w:val="none"/>
                <w:u w:val="none"/>
              </w:rPr>
            </w:pPr>
          </w:p>
        </w:tc>
      </w:tr>
      <w:tr w14:paraId="719AB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AFC5BF4">
            <w:pPr>
              <w:jc w:val="left"/>
              <w:rPr>
                <w:rFonts w:hint="default" w:ascii="Times New Roman" w:hAnsi="Times New Roman" w:eastAsia="仿宋_GB2312" w:cs="Times New Roman"/>
                <w:i w:val="0"/>
                <w:iCs w:val="0"/>
                <w:color w:val="000000"/>
                <w:sz w:val="32"/>
                <w:szCs w:val="32"/>
                <w:highlight w:val="none"/>
                <w:u w:val="none"/>
              </w:rPr>
            </w:pP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19C9A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黑体" w:hAnsi="黑体" w:eastAsia="黑体" w:cs="黑体"/>
                <w:i w:val="0"/>
                <w:iCs w:val="0"/>
                <w:color w:val="000000"/>
                <w:kern w:val="0"/>
                <w:sz w:val="32"/>
                <w:szCs w:val="32"/>
                <w:highlight w:val="none"/>
                <w:u w:val="none"/>
                <w:lang w:val="en-US" w:eastAsia="zh-CN" w:bidi="ar"/>
              </w:rPr>
              <w:t>滩面调坡</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6DF1EA">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4041B7">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8A05E6">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EC20BA">
            <w:pPr>
              <w:jc w:val="right"/>
              <w:rPr>
                <w:rFonts w:hint="eastAsia" w:ascii="仿宋_GB2312" w:hAnsi="仿宋_GB2312" w:eastAsia="仿宋_GB2312" w:cs="仿宋_GB2312"/>
                <w:i w:val="0"/>
                <w:iCs w:val="0"/>
                <w:color w:val="000000"/>
                <w:sz w:val="32"/>
                <w:szCs w:val="32"/>
                <w:highlight w:val="none"/>
                <w:u w:val="none"/>
              </w:rPr>
            </w:pPr>
          </w:p>
        </w:tc>
      </w:tr>
      <w:tr w14:paraId="6004D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3E2CD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5</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A18FDB">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挖土石方</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29775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m3</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F81A02">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125000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656F09">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D44A3BF">
            <w:pPr>
              <w:jc w:val="right"/>
              <w:rPr>
                <w:rFonts w:hint="eastAsia" w:ascii="仿宋_GB2312" w:hAnsi="仿宋_GB2312" w:eastAsia="仿宋_GB2312" w:cs="仿宋_GB2312"/>
                <w:i w:val="0"/>
                <w:iCs w:val="0"/>
                <w:color w:val="000000"/>
                <w:sz w:val="32"/>
                <w:szCs w:val="32"/>
                <w:highlight w:val="none"/>
                <w:u w:val="none"/>
              </w:rPr>
            </w:pPr>
          </w:p>
        </w:tc>
      </w:tr>
      <w:tr w14:paraId="71534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6C8071">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6</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D539A5">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碎石</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8964A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m2</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95B67A">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2800.00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9341B7">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086E1D">
            <w:pPr>
              <w:jc w:val="right"/>
              <w:rPr>
                <w:rFonts w:hint="eastAsia" w:ascii="仿宋_GB2312" w:hAnsi="仿宋_GB2312" w:eastAsia="仿宋_GB2312" w:cs="仿宋_GB2312"/>
                <w:i w:val="0"/>
                <w:iCs w:val="0"/>
                <w:color w:val="000000"/>
                <w:sz w:val="32"/>
                <w:szCs w:val="32"/>
                <w:highlight w:val="none"/>
                <w:u w:val="none"/>
              </w:rPr>
            </w:pPr>
          </w:p>
        </w:tc>
      </w:tr>
      <w:tr w14:paraId="32010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50EC3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7</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5BED0A">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土工合成材料</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A9B47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m2</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B8F431">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72600.00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B7F104">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E6B68E3">
            <w:pPr>
              <w:jc w:val="right"/>
              <w:rPr>
                <w:rFonts w:hint="eastAsia" w:ascii="仿宋_GB2312" w:hAnsi="仿宋_GB2312" w:eastAsia="仿宋_GB2312" w:cs="仿宋_GB2312"/>
                <w:i w:val="0"/>
                <w:iCs w:val="0"/>
                <w:color w:val="000000"/>
                <w:sz w:val="32"/>
                <w:szCs w:val="32"/>
                <w:highlight w:val="none"/>
                <w:u w:val="none"/>
              </w:rPr>
            </w:pPr>
          </w:p>
        </w:tc>
      </w:tr>
      <w:tr w14:paraId="136C1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88CAE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8</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4AA55A">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塑料管</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8BCC6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BDB9B2">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2765.00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31B056">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A9131A">
            <w:pPr>
              <w:jc w:val="right"/>
              <w:rPr>
                <w:rFonts w:hint="eastAsia" w:ascii="仿宋_GB2312" w:hAnsi="仿宋_GB2312" w:eastAsia="仿宋_GB2312" w:cs="仿宋_GB2312"/>
                <w:i w:val="0"/>
                <w:iCs w:val="0"/>
                <w:color w:val="000000"/>
                <w:sz w:val="32"/>
                <w:szCs w:val="32"/>
                <w:highlight w:val="none"/>
                <w:u w:val="none"/>
              </w:rPr>
            </w:pPr>
          </w:p>
        </w:tc>
      </w:tr>
      <w:tr w14:paraId="19737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C6D4CD1">
            <w:pPr>
              <w:jc w:val="left"/>
              <w:rPr>
                <w:rFonts w:hint="default" w:ascii="Times New Roman" w:hAnsi="Times New Roman" w:eastAsia="仿宋_GB2312" w:cs="Times New Roman"/>
                <w:i w:val="0"/>
                <w:iCs w:val="0"/>
                <w:color w:val="000000"/>
                <w:sz w:val="32"/>
                <w:szCs w:val="32"/>
                <w:highlight w:val="none"/>
                <w:u w:val="none"/>
              </w:rPr>
            </w:pP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295B0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黑体" w:hAnsi="黑体" w:eastAsia="黑体" w:cs="黑体"/>
                <w:i w:val="0"/>
                <w:iCs w:val="0"/>
                <w:color w:val="000000"/>
                <w:kern w:val="0"/>
                <w:sz w:val="32"/>
                <w:szCs w:val="32"/>
                <w:highlight w:val="none"/>
                <w:u w:val="none"/>
                <w:lang w:val="en-US" w:eastAsia="zh-CN" w:bidi="ar"/>
              </w:rPr>
              <w:t>水平钻孔排渗工程</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6D5730B">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0D0EEF">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0A76572">
            <w:pPr>
              <w:jc w:val="center"/>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4FD38F">
            <w:pPr>
              <w:jc w:val="right"/>
              <w:rPr>
                <w:rFonts w:hint="eastAsia" w:ascii="仿宋_GB2312" w:hAnsi="仿宋_GB2312" w:eastAsia="仿宋_GB2312" w:cs="仿宋_GB2312"/>
                <w:i w:val="0"/>
                <w:iCs w:val="0"/>
                <w:color w:val="000000"/>
                <w:sz w:val="32"/>
                <w:szCs w:val="32"/>
                <w:highlight w:val="none"/>
                <w:u w:val="none"/>
              </w:rPr>
            </w:pPr>
          </w:p>
        </w:tc>
      </w:tr>
      <w:tr w14:paraId="61C7F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FCC362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9</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53C7C1">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水平导向钻进</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B576F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C6D4352">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1560.00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81FD1B5">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4EB5FE4">
            <w:pPr>
              <w:jc w:val="right"/>
              <w:rPr>
                <w:rFonts w:hint="eastAsia" w:ascii="仿宋_GB2312" w:hAnsi="仿宋_GB2312" w:eastAsia="仿宋_GB2312" w:cs="仿宋_GB2312"/>
                <w:i w:val="0"/>
                <w:iCs w:val="0"/>
                <w:color w:val="000000"/>
                <w:sz w:val="32"/>
                <w:szCs w:val="32"/>
                <w:highlight w:val="none"/>
                <w:u w:val="none"/>
              </w:rPr>
            </w:pPr>
          </w:p>
        </w:tc>
      </w:tr>
      <w:tr w14:paraId="0A08B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2BFA1D3">
            <w:pPr>
              <w:jc w:val="left"/>
              <w:rPr>
                <w:rFonts w:hint="default" w:ascii="Times New Roman" w:hAnsi="Times New Roman" w:eastAsia="仿宋_GB2312" w:cs="Times New Roman"/>
                <w:i w:val="0"/>
                <w:iCs w:val="0"/>
                <w:color w:val="000000"/>
                <w:sz w:val="32"/>
                <w:szCs w:val="32"/>
                <w:highlight w:val="none"/>
                <w:u w:val="none"/>
              </w:rPr>
            </w:pP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E275942">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新建排洪设施</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BCDD81">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FEE2A4">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F78DD6D">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ED5A3D0">
            <w:pPr>
              <w:jc w:val="right"/>
              <w:rPr>
                <w:rFonts w:hint="eastAsia" w:ascii="仿宋_GB2312" w:hAnsi="仿宋_GB2312" w:eastAsia="仿宋_GB2312" w:cs="仿宋_GB2312"/>
                <w:i w:val="0"/>
                <w:iCs w:val="0"/>
                <w:color w:val="000000"/>
                <w:sz w:val="32"/>
                <w:szCs w:val="32"/>
                <w:highlight w:val="none"/>
                <w:u w:val="none"/>
              </w:rPr>
            </w:pPr>
          </w:p>
        </w:tc>
      </w:tr>
      <w:tr w14:paraId="71B65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4CD95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10</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8B74CB">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混凝土渠道（排水主沟）</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71B48B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585C02">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498.00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8D5F1E5">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3F0E08">
            <w:pPr>
              <w:jc w:val="right"/>
              <w:rPr>
                <w:rFonts w:hint="eastAsia" w:ascii="仿宋_GB2312" w:hAnsi="仿宋_GB2312" w:eastAsia="仿宋_GB2312" w:cs="仿宋_GB2312"/>
                <w:i w:val="0"/>
                <w:iCs w:val="0"/>
                <w:color w:val="000000"/>
                <w:sz w:val="32"/>
                <w:szCs w:val="32"/>
                <w:highlight w:val="none"/>
                <w:u w:val="none"/>
              </w:rPr>
            </w:pPr>
          </w:p>
        </w:tc>
      </w:tr>
      <w:tr w14:paraId="6F031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9B8B4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11</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1EFE82">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混凝土渠道（1#次排水沟）</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F57DE2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24B6D36">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345.00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8E23974">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17D67A">
            <w:pPr>
              <w:jc w:val="right"/>
              <w:rPr>
                <w:rFonts w:hint="eastAsia" w:ascii="仿宋_GB2312" w:hAnsi="仿宋_GB2312" w:eastAsia="仿宋_GB2312" w:cs="仿宋_GB2312"/>
                <w:i w:val="0"/>
                <w:iCs w:val="0"/>
                <w:color w:val="000000"/>
                <w:sz w:val="32"/>
                <w:szCs w:val="32"/>
                <w:highlight w:val="none"/>
                <w:u w:val="none"/>
              </w:rPr>
            </w:pPr>
          </w:p>
        </w:tc>
      </w:tr>
      <w:tr w14:paraId="35927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07102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12</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A92E20">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混凝土渠道（2#次排水沟及1#次库周截水沟）</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5A4F8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0429AD">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1165.00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189C42">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2484C0">
            <w:pPr>
              <w:jc w:val="right"/>
              <w:rPr>
                <w:rFonts w:hint="eastAsia" w:ascii="仿宋_GB2312" w:hAnsi="仿宋_GB2312" w:eastAsia="仿宋_GB2312" w:cs="仿宋_GB2312"/>
                <w:i w:val="0"/>
                <w:iCs w:val="0"/>
                <w:color w:val="000000"/>
                <w:sz w:val="32"/>
                <w:szCs w:val="32"/>
                <w:highlight w:val="none"/>
                <w:u w:val="none"/>
              </w:rPr>
            </w:pPr>
          </w:p>
        </w:tc>
      </w:tr>
      <w:tr w14:paraId="7CE4B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8E640C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13</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C942E3">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混凝土渠道（2#库周截水沟）</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A24AE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559425F">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170.00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12AB7A">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6C55A3">
            <w:pPr>
              <w:jc w:val="right"/>
              <w:rPr>
                <w:rFonts w:hint="eastAsia" w:ascii="仿宋_GB2312" w:hAnsi="仿宋_GB2312" w:eastAsia="仿宋_GB2312" w:cs="仿宋_GB2312"/>
                <w:i w:val="0"/>
                <w:iCs w:val="0"/>
                <w:color w:val="000000"/>
                <w:sz w:val="32"/>
                <w:szCs w:val="32"/>
                <w:highlight w:val="none"/>
                <w:u w:val="none"/>
              </w:rPr>
            </w:pPr>
          </w:p>
        </w:tc>
      </w:tr>
      <w:tr w14:paraId="16A1C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F6B57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14</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93B09F">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混凝土渠道（左右坝肩排水沟）</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0345F0">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D35E1C6">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197.00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9E922DA">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6AD2D96">
            <w:pPr>
              <w:jc w:val="right"/>
              <w:rPr>
                <w:rFonts w:hint="eastAsia" w:ascii="仿宋_GB2312" w:hAnsi="仿宋_GB2312" w:eastAsia="仿宋_GB2312" w:cs="仿宋_GB2312"/>
                <w:i w:val="0"/>
                <w:iCs w:val="0"/>
                <w:color w:val="000000"/>
                <w:sz w:val="32"/>
                <w:szCs w:val="32"/>
                <w:highlight w:val="none"/>
                <w:u w:val="none"/>
              </w:rPr>
            </w:pPr>
          </w:p>
        </w:tc>
      </w:tr>
      <w:tr w14:paraId="00424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1508F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15</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AFE05C">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混凝土渠道（箱涵段）</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191C4D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CD69D6">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20.80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A67855">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F190DC">
            <w:pPr>
              <w:jc w:val="right"/>
              <w:rPr>
                <w:rFonts w:hint="eastAsia" w:ascii="仿宋_GB2312" w:hAnsi="仿宋_GB2312" w:eastAsia="仿宋_GB2312" w:cs="仿宋_GB2312"/>
                <w:i w:val="0"/>
                <w:iCs w:val="0"/>
                <w:color w:val="000000"/>
                <w:sz w:val="32"/>
                <w:szCs w:val="32"/>
                <w:highlight w:val="none"/>
                <w:u w:val="none"/>
              </w:rPr>
            </w:pPr>
          </w:p>
        </w:tc>
      </w:tr>
      <w:tr w14:paraId="21FFE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D1A0C95">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16</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44889E">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混凝土消力池</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9DC5EAF">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座</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95F2C39">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1AC2E9">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15EAD4">
            <w:pPr>
              <w:jc w:val="right"/>
              <w:rPr>
                <w:rFonts w:hint="eastAsia" w:ascii="仿宋_GB2312" w:hAnsi="仿宋_GB2312" w:eastAsia="仿宋_GB2312" w:cs="仿宋_GB2312"/>
                <w:i w:val="0"/>
                <w:iCs w:val="0"/>
                <w:color w:val="000000"/>
                <w:sz w:val="32"/>
                <w:szCs w:val="32"/>
                <w:highlight w:val="none"/>
                <w:u w:val="none"/>
              </w:rPr>
            </w:pPr>
          </w:p>
        </w:tc>
      </w:tr>
      <w:tr w14:paraId="04449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81F1EC">
            <w:pPr>
              <w:jc w:val="left"/>
              <w:rPr>
                <w:rFonts w:hint="default" w:ascii="Times New Roman" w:hAnsi="Times New Roman" w:eastAsia="仿宋_GB2312" w:cs="Times New Roman"/>
                <w:i w:val="0"/>
                <w:iCs w:val="0"/>
                <w:color w:val="000000"/>
                <w:sz w:val="32"/>
                <w:szCs w:val="32"/>
                <w:highlight w:val="none"/>
                <w:u w:val="none"/>
              </w:rPr>
            </w:pP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5699F4B">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黑体" w:hAnsi="黑体" w:eastAsia="黑体" w:cs="黑体"/>
                <w:i w:val="0"/>
                <w:iCs w:val="0"/>
                <w:color w:val="000000"/>
                <w:kern w:val="0"/>
                <w:sz w:val="32"/>
                <w:szCs w:val="32"/>
                <w:highlight w:val="none"/>
                <w:u w:val="none"/>
                <w:lang w:val="en-US" w:eastAsia="zh-CN" w:bidi="ar"/>
              </w:rPr>
              <w:t>复绿工程</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E94B53A">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B0F68DA">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E99BE8B">
            <w:pPr>
              <w:jc w:val="center"/>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48C088">
            <w:pPr>
              <w:jc w:val="right"/>
              <w:rPr>
                <w:rFonts w:hint="eastAsia" w:ascii="仿宋_GB2312" w:hAnsi="仿宋_GB2312" w:eastAsia="仿宋_GB2312" w:cs="仿宋_GB2312"/>
                <w:i w:val="0"/>
                <w:iCs w:val="0"/>
                <w:color w:val="000000"/>
                <w:sz w:val="32"/>
                <w:szCs w:val="32"/>
                <w:highlight w:val="none"/>
                <w:u w:val="none"/>
              </w:rPr>
            </w:pPr>
          </w:p>
        </w:tc>
      </w:tr>
      <w:tr w14:paraId="79836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D16AF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17</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4F0C5AD">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种植土回（换）填</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AC063D">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m3</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EF4E03">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36300.00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D1ED28">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CE62FDC">
            <w:pPr>
              <w:jc w:val="right"/>
              <w:rPr>
                <w:rFonts w:hint="eastAsia" w:ascii="仿宋_GB2312" w:hAnsi="仿宋_GB2312" w:eastAsia="仿宋_GB2312" w:cs="仿宋_GB2312"/>
                <w:i w:val="0"/>
                <w:iCs w:val="0"/>
                <w:color w:val="000000"/>
                <w:sz w:val="32"/>
                <w:szCs w:val="32"/>
                <w:highlight w:val="none"/>
                <w:u w:val="none"/>
              </w:rPr>
            </w:pPr>
          </w:p>
        </w:tc>
      </w:tr>
      <w:tr w14:paraId="1D3DF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15BB7C">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18</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0DFABE4">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喷播植草（灌木）籽</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34A10A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m2</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5F397D6">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72600.00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8E9910E">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2AD8B09">
            <w:pPr>
              <w:jc w:val="right"/>
              <w:rPr>
                <w:rFonts w:hint="eastAsia" w:ascii="仿宋_GB2312" w:hAnsi="仿宋_GB2312" w:eastAsia="仿宋_GB2312" w:cs="仿宋_GB2312"/>
                <w:i w:val="0"/>
                <w:iCs w:val="0"/>
                <w:color w:val="000000"/>
                <w:sz w:val="32"/>
                <w:szCs w:val="32"/>
                <w:highlight w:val="none"/>
                <w:u w:val="none"/>
              </w:rPr>
            </w:pPr>
          </w:p>
        </w:tc>
      </w:tr>
      <w:tr w14:paraId="06548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BB4BA2">
            <w:pPr>
              <w:jc w:val="left"/>
              <w:rPr>
                <w:rFonts w:hint="default" w:ascii="Times New Roman" w:hAnsi="Times New Roman" w:eastAsia="仿宋_GB2312" w:cs="Times New Roman"/>
                <w:i w:val="0"/>
                <w:iCs w:val="0"/>
                <w:color w:val="000000"/>
                <w:sz w:val="32"/>
                <w:szCs w:val="32"/>
                <w:highlight w:val="none"/>
                <w:u w:val="none"/>
              </w:rPr>
            </w:pP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43A27C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黑体" w:hAnsi="黑体" w:eastAsia="黑体" w:cs="黑体"/>
                <w:i w:val="0"/>
                <w:iCs w:val="0"/>
                <w:color w:val="000000"/>
                <w:kern w:val="0"/>
                <w:sz w:val="32"/>
                <w:szCs w:val="32"/>
                <w:highlight w:val="none"/>
                <w:u w:val="none"/>
                <w:lang w:val="en-US" w:eastAsia="zh-CN" w:bidi="ar"/>
              </w:rPr>
              <w:t>现状排水斜槽、排水井涵管封堵</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6A99A2A">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4860C7D">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BBFA9F">
            <w:pPr>
              <w:jc w:val="center"/>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FA2EF07">
            <w:pPr>
              <w:jc w:val="right"/>
              <w:rPr>
                <w:rFonts w:hint="eastAsia" w:ascii="仿宋_GB2312" w:hAnsi="仿宋_GB2312" w:eastAsia="仿宋_GB2312" w:cs="仿宋_GB2312"/>
                <w:i w:val="0"/>
                <w:iCs w:val="0"/>
                <w:color w:val="000000"/>
                <w:sz w:val="32"/>
                <w:szCs w:val="32"/>
                <w:highlight w:val="none"/>
                <w:u w:val="none"/>
              </w:rPr>
            </w:pPr>
          </w:p>
        </w:tc>
      </w:tr>
      <w:tr w14:paraId="1DA66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26C3DE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19</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EA1AFB">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混凝土基础</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80CAC8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m3</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10BB48C">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190.00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518510E">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CFF35A">
            <w:pPr>
              <w:jc w:val="right"/>
              <w:rPr>
                <w:rFonts w:hint="eastAsia" w:ascii="仿宋_GB2312" w:hAnsi="仿宋_GB2312" w:eastAsia="仿宋_GB2312" w:cs="仿宋_GB2312"/>
                <w:i w:val="0"/>
                <w:iCs w:val="0"/>
                <w:color w:val="000000"/>
                <w:sz w:val="32"/>
                <w:szCs w:val="32"/>
                <w:highlight w:val="none"/>
                <w:u w:val="none"/>
              </w:rPr>
            </w:pPr>
          </w:p>
        </w:tc>
      </w:tr>
      <w:tr w14:paraId="5D9DF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6D8A92">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20</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F4310D5">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锚杆（索）</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19B75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9E32A8">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60.00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13ADCBF">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EE563CE">
            <w:pPr>
              <w:jc w:val="right"/>
              <w:rPr>
                <w:rFonts w:hint="eastAsia" w:ascii="仿宋_GB2312" w:hAnsi="仿宋_GB2312" w:eastAsia="仿宋_GB2312" w:cs="仿宋_GB2312"/>
                <w:i w:val="0"/>
                <w:iCs w:val="0"/>
                <w:color w:val="000000"/>
                <w:sz w:val="32"/>
                <w:szCs w:val="32"/>
                <w:highlight w:val="none"/>
                <w:u w:val="none"/>
              </w:rPr>
            </w:pPr>
          </w:p>
        </w:tc>
      </w:tr>
      <w:tr w14:paraId="0B725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4AC463A">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21</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B84470">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锚杆</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96E22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t</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0BDE9B9">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1.100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A564B4">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7831A05">
            <w:pPr>
              <w:jc w:val="right"/>
              <w:rPr>
                <w:rFonts w:hint="eastAsia" w:ascii="仿宋_GB2312" w:hAnsi="仿宋_GB2312" w:eastAsia="仿宋_GB2312" w:cs="仿宋_GB2312"/>
                <w:i w:val="0"/>
                <w:iCs w:val="0"/>
                <w:color w:val="000000"/>
                <w:sz w:val="32"/>
                <w:szCs w:val="32"/>
                <w:highlight w:val="none"/>
                <w:u w:val="none"/>
              </w:rPr>
            </w:pPr>
          </w:p>
        </w:tc>
      </w:tr>
      <w:tr w14:paraId="594A9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3218B7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22</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DCB7638">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塑料管</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DE0E0C3">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B89A9F">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36.00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FE8AF7B">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7988A6">
            <w:pPr>
              <w:jc w:val="right"/>
              <w:rPr>
                <w:rFonts w:hint="eastAsia" w:ascii="仿宋_GB2312" w:hAnsi="仿宋_GB2312" w:eastAsia="仿宋_GB2312" w:cs="仿宋_GB2312"/>
                <w:i w:val="0"/>
                <w:iCs w:val="0"/>
                <w:color w:val="000000"/>
                <w:sz w:val="32"/>
                <w:szCs w:val="32"/>
                <w:highlight w:val="none"/>
                <w:u w:val="none"/>
              </w:rPr>
            </w:pPr>
          </w:p>
        </w:tc>
      </w:tr>
      <w:tr w14:paraId="6FE48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D45A9C4">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23</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2DA971">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回填方</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F69D48">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m3</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CC1AF66">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20.00</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865AFE">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3FB9C4C">
            <w:pPr>
              <w:jc w:val="right"/>
              <w:rPr>
                <w:rFonts w:hint="eastAsia" w:ascii="仿宋_GB2312" w:hAnsi="仿宋_GB2312" w:eastAsia="仿宋_GB2312" w:cs="仿宋_GB2312"/>
                <w:i w:val="0"/>
                <w:iCs w:val="0"/>
                <w:color w:val="000000"/>
                <w:sz w:val="32"/>
                <w:szCs w:val="32"/>
                <w:highlight w:val="none"/>
                <w:u w:val="none"/>
              </w:rPr>
            </w:pPr>
          </w:p>
        </w:tc>
      </w:tr>
      <w:tr w14:paraId="37D8C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C23038E">
            <w:pPr>
              <w:jc w:val="left"/>
              <w:rPr>
                <w:rFonts w:hint="default" w:ascii="Times New Roman" w:hAnsi="Times New Roman" w:eastAsia="仿宋_GB2312" w:cs="Times New Roman"/>
                <w:i w:val="0"/>
                <w:iCs w:val="0"/>
                <w:color w:val="000000"/>
                <w:sz w:val="32"/>
                <w:szCs w:val="32"/>
                <w:highlight w:val="none"/>
                <w:u w:val="none"/>
              </w:rPr>
            </w:pP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80EF42B">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highlight w:val="none"/>
                <w:u w:val="none"/>
              </w:rPr>
            </w:pPr>
            <w:r>
              <w:rPr>
                <w:rFonts w:hint="eastAsia" w:ascii="黑体" w:hAnsi="黑体" w:eastAsia="黑体" w:cs="黑体"/>
                <w:i w:val="0"/>
                <w:iCs w:val="0"/>
                <w:color w:val="000000"/>
                <w:kern w:val="0"/>
                <w:sz w:val="32"/>
                <w:szCs w:val="32"/>
                <w:highlight w:val="none"/>
                <w:u w:val="none"/>
                <w:lang w:val="en-US" w:eastAsia="zh-CN" w:bidi="ar"/>
              </w:rPr>
              <w:t>钢筋工程</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3F2ACB3">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0D435F5">
            <w:pPr>
              <w:jc w:val="left"/>
              <w:rPr>
                <w:rFonts w:hint="default" w:ascii="Times New Roman" w:hAnsi="Times New Roman" w:eastAsia="仿宋_GB2312" w:cs="Times New Roman"/>
                <w:i w:val="0"/>
                <w:iCs w:val="0"/>
                <w:color w:val="000000"/>
                <w:sz w:val="32"/>
                <w:szCs w:val="32"/>
                <w:highlight w:val="none"/>
                <w:u w:val="none"/>
              </w:rPr>
            </w:pP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AA13198">
            <w:pPr>
              <w:jc w:val="center"/>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B16120E">
            <w:pPr>
              <w:jc w:val="right"/>
              <w:rPr>
                <w:rFonts w:hint="eastAsia" w:ascii="仿宋_GB2312" w:hAnsi="仿宋_GB2312" w:eastAsia="仿宋_GB2312" w:cs="仿宋_GB2312"/>
                <w:i w:val="0"/>
                <w:iCs w:val="0"/>
                <w:color w:val="000000"/>
                <w:sz w:val="32"/>
                <w:szCs w:val="32"/>
                <w:highlight w:val="none"/>
                <w:u w:val="none"/>
              </w:rPr>
            </w:pPr>
          </w:p>
        </w:tc>
      </w:tr>
      <w:tr w14:paraId="0C7AF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F5D9697">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24</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22E3756">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现浇构件钢筋</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170BE49">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t</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E20715A">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110.545</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AEED368">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E4098BC">
            <w:pPr>
              <w:jc w:val="right"/>
              <w:rPr>
                <w:rFonts w:hint="eastAsia" w:ascii="仿宋_GB2312" w:hAnsi="仿宋_GB2312" w:eastAsia="仿宋_GB2312" w:cs="仿宋_GB2312"/>
                <w:i w:val="0"/>
                <w:iCs w:val="0"/>
                <w:color w:val="000000"/>
                <w:sz w:val="32"/>
                <w:szCs w:val="32"/>
                <w:highlight w:val="none"/>
                <w:u w:val="none"/>
              </w:rPr>
            </w:pPr>
          </w:p>
        </w:tc>
      </w:tr>
      <w:tr w14:paraId="54517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4181126">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25</w:t>
            </w:r>
          </w:p>
        </w:tc>
        <w:tc>
          <w:tcPr>
            <w:tcW w:w="124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738BF5">
            <w:pPr>
              <w:keepNext w:val="0"/>
              <w:keepLines w:val="0"/>
              <w:widowControl/>
              <w:suppressLineNumbers w:val="0"/>
              <w:jc w:val="left"/>
              <w:textAlignment w:val="center"/>
              <w:rPr>
                <w:rFonts w:hint="eastAsia" w:ascii="仿宋_GB2312" w:hAnsi="仿宋_GB2312" w:eastAsia="仿宋_GB2312" w:cs="仿宋_GB2312"/>
                <w:i w:val="0"/>
                <w:iCs w:val="0"/>
                <w:color w:val="000000"/>
                <w:sz w:val="32"/>
                <w:szCs w:val="32"/>
                <w:highlight w:val="none"/>
                <w:u w:val="none"/>
              </w:rPr>
            </w:pPr>
            <w:r>
              <w:rPr>
                <w:rFonts w:hint="eastAsia" w:ascii="仿宋_GB2312" w:hAnsi="仿宋_GB2312" w:eastAsia="仿宋_GB2312" w:cs="仿宋_GB2312"/>
                <w:i w:val="0"/>
                <w:iCs w:val="0"/>
                <w:color w:val="000000"/>
                <w:kern w:val="0"/>
                <w:sz w:val="32"/>
                <w:szCs w:val="32"/>
                <w:highlight w:val="none"/>
                <w:u w:val="none"/>
                <w:lang w:val="en-US" w:eastAsia="zh-CN" w:bidi="ar"/>
              </w:rPr>
              <w:t>现浇构件钢筋</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747698B">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t</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525704">
            <w:pPr>
              <w:keepNext w:val="0"/>
              <w:keepLines w:val="0"/>
              <w:widowControl/>
              <w:suppressLineNumbers w:val="0"/>
              <w:jc w:val="right"/>
              <w:textAlignment w:val="center"/>
              <w:rPr>
                <w:rFonts w:hint="default" w:ascii="Times New Roman" w:hAnsi="Times New Roman" w:eastAsia="仿宋_GB2312" w:cs="Times New Roman"/>
                <w:i w:val="0"/>
                <w:iCs w:val="0"/>
                <w:color w:val="000000"/>
                <w:sz w:val="32"/>
                <w:szCs w:val="32"/>
                <w:highlight w:val="none"/>
                <w:u w:val="none"/>
              </w:rPr>
            </w:pPr>
            <w:r>
              <w:rPr>
                <w:rFonts w:hint="default" w:ascii="Times New Roman" w:hAnsi="Times New Roman" w:eastAsia="仿宋_GB2312" w:cs="Times New Roman"/>
                <w:i w:val="0"/>
                <w:iCs w:val="0"/>
                <w:color w:val="000000"/>
                <w:kern w:val="0"/>
                <w:sz w:val="32"/>
                <w:szCs w:val="32"/>
                <w:highlight w:val="none"/>
                <w:u w:val="none"/>
                <w:lang w:val="en-US" w:eastAsia="zh-CN" w:bidi="ar"/>
              </w:rPr>
              <w:t>1.777</w:t>
            </w:r>
          </w:p>
        </w:tc>
        <w:tc>
          <w:tcPr>
            <w:tcW w:w="83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C8BF07">
            <w:pPr>
              <w:jc w:val="right"/>
              <w:rPr>
                <w:rFonts w:hint="eastAsia" w:ascii="仿宋_GB2312" w:hAnsi="仿宋_GB2312" w:eastAsia="仿宋_GB2312" w:cs="仿宋_GB2312"/>
                <w:i w:val="0"/>
                <w:iCs w:val="0"/>
                <w:color w:val="000000"/>
                <w:sz w:val="32"/>
                <w:szCs w:val="32"/>
                <w:highlight w:val="none"/>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A76CB32">
            <w:pPr>
              <w:jc w:val="right"/>
              <w:rPr>
                <w:rFonts w:hint="eastAsia" w:ascii="仿宋_GB2312" w:hAnsi="仿宋_GB2312" w:eastAsia="仿宋_GB2312" w:cs="仿宋_GB2312"/>
                <w:i w:val="0"/>
                <w:iCs w:val="0"/>
                <w:color w:val="000000"/>
                <w:sz w:val="32"/>
                <w:szCs w:val="32"/>
                <w:highlight w:val="none"/>
                <w:u w:val="none"/>
              </w:rPr>
            </w:pPr>
          </w:p>
        </w:tc>
      </w:tr>
    </w:tbl>
    <w:p w14:paraId="6DB4C98E">
      <w:pPr>
        <w:spacing w:line="360" w:lineRule="auto"/>
        <w:jc w:val="center"/>
        <w:rPr>
          <w:rFonts w:hint="eastAsia"/>
          <w:color w:val="auto"/>
          <w:sz w:val="24"/>
          <w:szCs w:val="24"/>
          <w:highlight w:val="none"/>
        </w:rPr>
      </w:pPr>
    </w:p>
    <w:p w14:paraId="1AB40952">
      <w:pPr>
        <w:pStyle w:val="31"/>
        <w:ind w:left="0" w:leftChars="0" w:firstLine="0" w:firstLineChars="0"/>
        <w:rPr>
          <w:color w:val="auto"/>
          <w:highlight w:val="none"/>
        </w:rPr>
        <w:sectPr>
          <w:pgSz w:w="16838" w:h="11906" w:orient="landscape"/>
          <w:pgMar w:top="1587" w:right="2098" w:bottom="1474" w:left="1984" w:header="851" w:footer="1417" w:gutter="0"/>
          <w:pgBorders>
            <w:top w:val="none" w:sz="0" w:space="0"/>
            <w:left w:val="none" w:sz="0" w:space="0"/>
            <w:bottom w:val="none" w:sz="0" w:space="0"/>
            <w:right w:val="none" w:sz="0" w:space="0"/>
          </w:pgBorders>
          <w:pgNumType w:fmt="decimal"/>
          <w:cols w:space="720" w:num="1"/>
          <w:titlePg/>
          <w:rtlGutter w:val="0"/>
          <w:docGrid w:type="lines" w:linePitch="312" w:charSpace="0"/>
        </w:sectPr>
      </w:pPr>
    </w:p>
    <w:p w14:paraId="2BA28AA9">
      <w:pPr>
        <w:rPr>
          <w:color w:val="auto"/>
          <w:highlight w:val="none"/>
        </w:rPr>
      </w:pPr>
    </w:p>
    <w:p w14:paraId="14553964">
      <w:pPr>
        <w:rPr>
          <w:color w:val="auto"/>
          <w:highlight w:val="none"/>
        </w:rPr>
      </w:pPr>
    </w:p>
    <w:p w14:paraId="7E3ADC40">
      <w:pPr>
        <w:rPr>
          <w:color w:val="auto"/>
          <w:highlight w:val="none"/>
        </w:rPr>
      </w:pPr>
    </w:p>
    <w:p w14:paraId="7EA52E45">
      <w:pPr>
        <w:widowControl/>
        <w:jc w:val="left"/>
        <w:rPr>
          <w:rFonts w:hint="eastAsia"/>
          <w:color w:val="auto"/>
          <w:highlight w:val="none"/>
        </w:rPr>
      </w:pPr>
    </w:p>
    <w:bookmarkEnd w:id="295"/>
    <w:p w14:paraId="3E5023DC">
      <w:pPr>
        <w:pStyle w:val="5"/>
        <w:jc w:val="center"/>
        <w:rPr>
          <w:rFonts w:ascii="宋体" w:hAnsi="宋体"/>
          <w:bCs w:val="0"/>
          <w:color w:val="auto"/>
          <w:kern w:val="0"/>
          <w:sz w:val="32"/>
          <w:highlight w:val="none"/>
        </w:rPr>
      </w:pPr>
      <w:bookmarkStart w:id="296" w:name="_Toc18404974"/>
      <w:bookmarkStart w:id="297" w:name="_Toc72846854"/>
      <w:bookmarkStart w:id="298" w:name="_Toc61616138"/>
      <w:bookmarkStart w:id="299" w:name="_Toc72846703"/>
      <w:r>
        <w:rPr>
          <w:rFonts w:hint="eastAsia" w:ascii="宋体" w:hAnsi="宋体"/>
          <w:bCs w:val="0"/>
          <w:color w:val="auto"/>
          <w:kern w:val="0"/>
          <w:sz w:val="32"/>
          <w:highlight w:val="none"/>
        </w:rPr>
        <w:t>三、法定代表人身份证明</w:t>
      </w:r>
      <w:bookmarkEnd w:id="290"/>
      <w:bookmarkEnd w:id="296"/>
      <w:bookmarkEnd w:id="297"/>
      <w:bookmarkEnd w:id="298"/>
      <w:bookmarkEnd w:id="299"/>
    </w:p>
    <w:p w14:paraId="4DD3B847">
      <w:pPr>
        <w:pStyle w:val="32"/>
        <w:spacing w:line="360" w:lineRule="auto"/>
        <w:jc w:val="both"/>
        <w:rPr>
          <w:rFonts w:hint="eastAsia" w:hAnsi="宋体"/>
          <w:color w:val="auto"/>
          <w:sz w:val="21"/>
          <w:szCs w:val="21"/>
          <w:highlight w:val="none"/>
        </w:rPr>
      </w:pPr>
    </w:p>
    <w:p w14:paraId="32E5C339">
      <w:pPr>
        <w:pStyle w:val="32"/>
        <w:spacing w:after="0" w:line="480" w:lineRule="auto"/>
        <w:jc w:val="both"/>
        <w:rPr>
          <w:rFonts w:hAnsi="宋体"/>
          <w:color w:val="auto"/>
          <w:highlight w:val="none"/>
          <w:u w:val="single"/>
        </w:rPr>
      </w:pPr>
      <w:r>
        <w:rPr>
          <w:rFonts w:hint="eastAsia" w:hAnsi="宋体"/>
          <w:color w:val="auto"/>
          <w:highlight w:val="none"/>
        </w:rPr>
        <w:t>投标人名称：</w:t>
      </w:r>
      <w:r>
        <w:rPr>
          <w:rFonts w:hAnsi="宋体"/>
          <w:color w:val="auto"/>
          <w:highlight w:val="none"/>
          <w:u w:val="single"/>
        </w:rPr>
        <w:t xml:space="preserve">                                   </w:t>
      </w:r>
    </w:p>
    <w:p w14:paraId="79C7435C">
      <w:pPr>
        <w:pStyle w:val="32"/>
        <w:spacing w:after="0" w:line="480" w:lineRule="auto"/>
        <w:rPr>
          <w:rFonts w:hAnsi="宋体"/>
          <w:color w:val="auto"/>
          <w:highlight w:val="none"/>
          <w:u w:val="single"/>
        </w:rPr>
      </w:pPr>
      <w:r>
        <w:rPr>
          <w:rFonts w:hint="eastAsia" w:hAnsi="宋体"/>
          <w:color w:val="auto"/>
          <w:highlight w:val="none"/>
        </w:rPr>
        <w:t>单位性质：</w:t>
      </w:r>
      <w:r>
        <w:rPr>
          <w:rFonts w:hAnsi="宋体"/>
          <w:color w:val="auto"/>
          <w:highlight w:val="none"/>
          <w:u w:val="single"/>
        </w:rPr>
        <w:t xml:space="preserve">                                     </w:t>
      </w:r>
    </w:p>
    <w:p w14:paraId="70AC65EE">
      <w:pPr>
        <w:pStyle w:val="32"/>
        <w:spacing w:after="0" w:line="480" w:lineRule="auto"/>
        <w:jc w:val="both"/>
        <w:rPr>
          <w:rFonts w:hAnsi="宋体"/>
          <w:color w:val="auto"/>
          <w:highlight w:val="none"/>
          <w:u w:val="single"/>
        </w:rPr>
      </w:pPr>
      <w:r>
        <w:rPr>
          <w:rFonts w:hint="eastAsia" w:hAnsi="宋体"/>
          <w:color w:val="auto"/>
          <w:highlight w:val="none"/>
        </w:rPr>
        <w:t>地址：</w:t>
      </w:r>
      <w:r>
        <w:rPr>
          <w:rFonts w:hAnsi="宋体"/>
          <w:color w:val="auto"/>
          <w:highlight w:val="none"/>
          <w:u w:val="single"/>
        </w:rPr>
        <w:t xml:space="preserve">                                         </w:t>
      </w:r>
    </w:p>
    <w:p w14:paraId="3EA7F9B8">
      <w:pPr>
        <w:pStyle w:val="32"/>
        <w:spacing w:after="0" w:line="480" w:lineRule="auto"/>
        <w:jc w:val="both"/>
        <w:rPr>
          <w:rFonts w:hAnsi="宋体"/>
          <w:color w:val="auto"/>
          <w:highlight w:val="none"/>
          <w:u w:val="single"/>
        </w:rPr>
      </w:pPr>
      <w:r>
        <w:rPr>
          <w:rFonts w:hint="eastAsia" w:hAnsi="宋体"/>
          <w:color w:val="auto"/>
          <w:highlight w:val="none"/>
        </w:rPr>
        <w:t>成立时间：</w:t>
      </w:r>
      <w:r>
        <w:rPr>
          <w:rFonts w:hAnsi="宋体"/>
          <w:color w:val="auto"/>
          <w:highlight w:val="none"/>
          <w:u w:val="single"/>
        </w:rPr>
        <w:t xml:space="preserve">                                     </w:t>
      </w:r>
    </w:p>
    <w:p w14:paraId="7C4A528F">
      <w:pPr>
        <w:pStyle w:val="30"/>
        <w:spacing w:line="480" w:lineRule="auto"/>
        <w:rPr>
          <w:rFonts w:hAnsi="宋体" w:cs="Times New Roman"/>
          <w:color w:val="auto"/>
          <w:highlight w:val="none"/>
          <w:u w:val="single"/>
        </w:rPr>
      </w:pPr>
      <w:r>
        <w:rPr>
          <w:rFonts w:hint="eastAsia" w:hAnsi="宋体"/>
          <w:color w:val="auto"/>
          <w:highlight w:val="none"/>
        </w:rPr>
        <w:t>经营期限：</w:t>
      </w:r>
      <w:r>
        <w:rPr>
          <w:rFonts w:hAnsi="宋体"/>
          <w:color w:val="auto"/>
          <w:highlight w:val="none"/>
          <w:u w:val="single"/>
        </w:rPr>
        <w:t xml:space="preserve">                                </w:t>
      </w:r>
    </w:p>
    <w:p w14:paraId="5EE0F7A9">
      <w:pPr>
        <w:pStyle w:val="30"/>
        <w:spacing w:line="480" w:lineRule="auto"/>
        <w:rPr>
          <w:rFonts w:hAnsi="宋体" w:cs="Times New Roman"/>
          <w:color w:val="auto"/>
          <w:highlight w:val="none"/>
        </w:rPr>
      </w:pPr>
      <w:r>
        <w:rPr>
          <w:rFonts w:hint="eastAsia" w:hAnsi="宋体"/>
          <w:color w:val="auto"/>
          <w:highlight w:val="none"/>
        </w:rPr>
        <w:t>姓名：</w:t>
      </w:r>
      <w:r>
        <w:rPr>
          <w:rFonts w:hAnsi="宋体"/>
          <w:color w:val="auto"/>
          <w:highlight w:val="none"/>
          <w:u w:val="single"/>
        </w:rPr>
        <w:t xml:space="preserve">         </w:t>
      </w:r>
      <w:r>
        <w:rPr>
          <w:rFonts w:hAnsi="宋体"/>
          <w:color w:val="auto"/>
          <w:highlight w:val="none"/>
        </w:rPr>
        <w:t xml:space="preserve">   </w:t>
      </w:r>
      <w:r>
        <w:rPr>
          <w:rFonts w:hint="eastAsia" w:hAnsi="宋体"/>
          <w:color w:val="auto"/>
          <w:highlight w:val="none"/>
        </w:rPr>
        <w:t>性别：</w:t>
      </w:r>
      <w:r>
        <w:rPr>
          <w:rFonts w:hAnsi="宋体"/>
          <w:color w:val="auto"/>
          <w:highlight w:val="none"/>
          <w:u w:val="single"/>
        </w:rPr>
        <w:t xml:space="preserve">          </w:t>
      </w:r>
      <w:r>
        <w:rPr>
          <w:rFonts w:hAnsi="宋体"/>
          <w:color w:val="auto"/>
          <w:highlight w:val="none"/>
        </w:rPr>
        <w:t xml:space="preserve">   </w:t>
      </w:r>
      <w:r>
        <w:rPr>
          <w:rFonts w:hint="eastAsia" w:hAnsi="宋体"/>
          <w:color w:val="auto"/>
          <w:highlight w:val="none"/>
        </w:rPr>
        <w:t>年龄：</w:t>
      </w:r>
      <w:r>
        <w:rPr>
          <w:rFonts w:hAnsi="宋体"/>
          <w:color w:val="auto"/>
          <w:highlight w:val="none"/>
          <w:u w:val="single"/>
        </w:rPr>
        <w:t xml:space="preserve">          </w:t>
      </w:r>
      <w:r>
        <w:rPr>
          <w:rFonts w:hAnsi="宋体"/>
          <w:color w:val="auto"/>
          <w:highlight w:val="none"/>
        </w:rPr>
        <w:t xml:space="preserve">  </w:t>
      </w:r>
      <w:r>
        <w:rPr>
          <w:rFonts w:hint="eastAsia" w:hAnsi="宋体"/>
          <w:color w:val="auto"/>
          <w:highlight w:val="none"/>
        </w:rPr>
        <w:t>职务：</w:t>
      </w:r>
      <w:r>
        <w:rPr>
          <w:rFonts w:hAnsi="宋体"/>
          <w:color w:val="auto"/>
          <w:highlight w:val="none"/>
          <w:u w:val="single"/>
        </w:rPr>
        <w:t xml:space="preserve">        </w:t>
      </w:r>
      <w:r>
        <w:rPr>
          <w:rFonts w:hAnsi="宋体"/>
          <w:color w:val="auto"/>
          <w:highlight w:val="none"/>
        </w:rPr>
        <w:t xml:space="preserve">   </w:t>
      </w:r>
    </w:p>
    <w:p w14:paraId="6A8A6F9E">
      <w:pPr>
        <w:pStyle w:val="30"/>
        <w:spacing w:line="480" w:lineRule="auto"/>
        <w:rPr>
          <w:rFonts w:hAnsi="宋体" w:cs="Times New Roman"/>
          <w:color w:val="auto"/>
          <w:highlight w:val="none"/>
        </w:rPr>
      </w:pPr>
      <w:r>
        <w:rPr>
          <w:rFonts w:hint="eastAsia" w:hAnsi="宋体"/>
          <w:color w:val="auto"/>
          <w:highlight w:val="none"/>
        </w:rPr>
        <w:t>系</w:t>
      </w:r>
      <w:r>
        <w:rPr>
          <w:rFonts w:hAnsi="宋体"/>
          <w:color w:val="auto"/>
          <w:highlight w:val="none"/>
          <w:u w:val="single"/>
        </w:rPr>
        <w:t xml:space="preserve">                               </w:t>
      </w:r>
      <w:r>
        <w:rPr>
          <w:rFonts w:hint="eastAsia" w:hAnsi="宋体"/>
          <w:color w:val="auto"/>
          <w:highlight w:val="none"/>
        </w:rPr>
        <w:t>（投标人名称）的法定代表人。</w:t>
      </w:r>
    </w:p>
    <w:p w14:paraId="263D5F06">
      <w:pPr>
        <w:pStyle w:val="30"/>
        <w:spacing w:line="480" w:lineRule="auto"/>
        <w:rPr>
          <w:rFonts w:hint="eastAsia" w:hAnsi="宋体"/>
          <w:color w:val="auto"/>
          <w:highlight w:val="none"/>
        </w:rPr>
      </w:pPr>
      <w:r>
        <w:rPr>
          <w:rFonts w:hint="eastAsia" w:hAnsi="宋体"/>
          <w:color w:val="auto"/>
          <w:highlight w:val="none"/>
        </w:rPr>
        <w:t>特此证明。</w:t>
      </w:r>
    </w:p>
    <w:p w14:paraId="56F5579D">
      <w:pPr>
        <w:pStyle w:val="30"/>
        <w:spacing w:line="480" w:lineRule="auto"/>
        <w:rPr>
          <w:rFonts w:hAnsi="宋体" w:cs="Times New Roman"/>
          <w:color w:val="auto"/>
          <w:highlight w:val="none"/>
        </w:rPr>
      </w:pPr>
      <w:r>
        <w:rPr>
          <w:rFonts w:hint="eastAsia" w:hAnsi="宋体"/>
          <w:color w:val="auto"/>
          <w:highlight w:val="none"/>
        </w:rPr>
        <w:t>附法定代表人身份证复印件</w:t>
      </w:r>
    </w:p>
    <w:p w14:paraId="0B36757C">
      <w:pPr>
        <w:pStyle w:val="32"/>
        <w:spacing w:after="0" w:line="360" w:lineRule="auto"/>
        <w:jc w:val="both"/>
        <w:rPr>
          <w:rFonts w:hAnsi="宋体"/>
          <w:color w:val="auto"/>
          <w:highlight w:val="none"/>
        </w:rPr>
      </w:pPr>
    </w:p>
    <w:p w14:paraId="524E86C2">
      <w:pPr>
        <w:pStyle w:val="30"/>
        <w:rPr>
          <w:rFonts w:hAnsi="宋体" w:cs="Times New Roman"/>
          <w:color w:val="auto"/>
          <w:highlight w:val="none"/>
        </w:rPr>
      </w:pPr>
    </w:p>
    <w:p w14:paraId="448C93A6">
      <w:pPr>
        <w:pStyle w:val="30"/>
        <w:rPr>
          <w:rFonts w:hAnsi="宋体" w:cs="Times New Roman"/>
          <w:color w:val="auto"/>
          <w:highlight w:val="none"/>
        </w:rPr>
      </w:pPr>
    </w:p>
    <w:p w14:paraId="196E8742">
      <w:pPr>
        <w:pStyle w:val="30"/>
        <w:rPr>
          <w:rFonts w:hAnsi="宋体" w:cs="Times New Roman"/>
          <w:color w:val="auto"/>
          <w:highlight w:val="none"/>
        </w:rPr>
      </w:pPr>
    </w:p>
    <w:p w14:paraId="397C24A3">
      <w:pPr>
        <w:pStyle w:val="30"/>
        <w:rPr>
          <w:rFonts w:hAnsi="宋体" w:cs="Times New Roman"/>
          <w:color w:val="auto"/>
          <w:highlight w:val="none"/>
        </w:rPr>
      </w:pPr>
    </w:p>
    <w:p w14:paraId="5E929723">
      <w:pPr>
        <w:pStyle w:val="30"/>
        <w:rPr>
          <w:rFonts w:hAnsi="宋体" w:cs="Times New Roman"/>
          <w:color w:val="auto"/>
          <w:highlight w:val="none"/>
        </w:rPr>
      </w:pPr>
    </w:p>
    <w:p w14:paraId="38C5679D">
      <w:pPr>
        <w:pStyle w:val="30"/>
        <w:rPr>
          <w:rFonts w:hAnsi="宋体" w:cs="Times New Roman"/>
          <w:color w:val="auto"/>
          <w:highlight w:val="none"/>
        </w:rPr>
      </w:pPr>
    </w:p>
    <w:p w14:paraId="156A5E0E">
      <w:pPr>
        <w:pStyle w:val="30"/>
        <w:rPr>
          <w:rFonts w:hAnsi="宋体" w:cs="Times New Roman"/>
          <w:color w:val="auto"/>
          <w:highlight w:val="none"/>
        </w:rPr>
      </w:pPr>
    </w:p>
    <w:p w14:paraId="7B6A2D57">
      <w:pPr>
        <w:pStyle w:val="30"/>
        <w:rPr>
          <w:rFonts w:hAnsi="宋体" w:cs="Times New Roman"/>
          <w:color w:val="auto"/>
          <w:highlight w:val="none"/>
        </w:rPr>
      </w:pPr>
    </w:p>
    <w:p w14:paraId="6C1D1A57">
      <w:pPr>
        <w:pStyle w:val="30"/>
        <w:rPr>
          <w:rFonts w:hAnsi="宋体" w:cs="Times New Roman"/>
          <w:color w:val="auto"/>
          <w:highlight w:val="none"/>
        </w:rPr>
      </w:pPr>
    </w:p>
    <w:p w14:paraId="6DF40A92">
      <w:pPr>
        <w:pStyle w:val="30"/>
        <w:ind w:firstLine="4372" w:firstLineChars="1822"/>
        <w:jc w:val="right"/>
        <w:rPr>
          <w:rFonts w:hAnsi="宋体" w:cs="Times New Roman"/>
          <w:color w:val="auto"/>
          <w:highlight w:val="none"/>
        </w:rPr>
      </w:pPr>
      <w:r>
        <w:rPr>
          <w:rFonts w:hint="eastAsia" w:hAnsi="宋体"/>
          <w:color w:val="auto"/>
          <w:highlight w:val="none"/>
        </w:rPr>
        <w:t>投标人：</w:t>
      </w:r>
      <w:r>
        <w:rPr>
          <w:rFonts w:hAnsi="宋体"/>
          <w:color w:val="auto"/>
          <w:highlight w:val="none"/>
          <w:u w:val="single"/>
        </w:rPr>
        <w:t xml:space="preserve">                  </w:t>
      </w:r>
      <w:r>
        <w:rPr>
          <w:rFonts w:hint="eastAsia" w:hAnsi="宋体"/>
          <w:color w:val="auto"/>
          <w:highlight w:val="none"/>
        </w:rPr>
        <w:t>（盖单位章）</w:t>
      </w:r>
    </w:p>
    <w:p w14:paraId="0E796F50">
      <w:pPr>
        <w:pStyle w:val="30"/>
        <w:ind w:firstLine="4372" w:firstLineChars="1822"/>
        <w:rPr>
          <w:rFonts w:hAnsi="宋体" w:cs="Times New Roman"/>
          <w:color w:val="auto"/>
          <w:highlight w:val="none"/>
        </w:rPr>
      </w:pPr>
    </w:p>
    <w:p w14:paraId="045CF7A5">
      <w:pPr>
        <w:pStyle w:val="30"/>
        <w:ind w:firstLine="4372" w:firstLineChars="1822"/>
        <w:jc w:val="right"/>
        <w:rPr>
          <w:rFonts w:hAnsi="宋体" w:cs="Times New Roman"/>
          <w:color w:val="auto"/>
          <w:highlight w:val="none"/>
        </w:rPr>
      </w:pP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olor w:val="auto"/>
          <w:highlight w:val="none"/>
        </w:rPr>
        <w:t>年</w:t>
      </w:r>
      <w:r>
        <w:rPr>
          <w:rFonts w:hAnsi="宋体"/>
          <w:color w:val="auto"/>
          <w:highlight w:val="none"/>
          <w:u w:val="single"/>
        </w:rPr>
        <w:t xml:space="preserve">       </w:t>
      </w:r>
      <w:r>
        <w:rPr>
          <w:rFonts w:hint="eastAsia" w:hAnsi="宋体"/>
          <w:color w:val="auto"/>
          <w:highlight w:val="none"/>
        </w:rPr>
        <w:t>月</w:t>
      </w:r>
      <w:r>
        <w:rPr>
          <w:rFonts w:hAnsi="宋体"/>
          <w:color w:val="auto"/>
          <w:highlight w:val="none"/>
          <w:u w:val="single"/>
        </w:rPr>
        <w:t xml:space="preserve">       </w:t>
      </w:r>
      <w:r>
        <w:rPr>
          <w:rFonts w:hint="eastAsia" w:hAnsi="宋体"/>
          <w:color w:val="auto"/>
          <w:highlight w:val="none"/>
        </w:rPr>
        <w:t>日</w:t>
      </w:r>
    </w:p>
    <w:p w14:paraId="01592E2C">
      <w:pPr>
        <w:pStyle w:val="30"/>
        <w:rPr>
          <w:rFonts w:hAnsi="宋体" w:cs="Times New Roman"/>
          <w:color w:val="auto"/>
          <w:highlight w:val="none"/>
        </w:rPr>
      </w:pPr>
    </w:p>
    <w:p w14:paraId="0F8FD217">
      <w:pPr>
        <w:rPr>
          <w:rFonts w:hint="eastAsia"/>
          <w:color w:val="auto"/>
          <w:highlight w:val="none"/>
        </w:rPr>
      </w:pPr>
      <w:r>
        <w:rPr>
          <w:color w:val="auto"/>
          <w:highlight w:val="none"/>
        </w:rPr>
        <w:br w:type="page"/>
      </w:r>
      <w:bookmarkStart w:id="300" w:name="_Toc221274194"/>
    </w:p>
    <w:p w14:paraId="63C5C499">
      <w:pPr>
        <w:pStyle w:val="5"/>
        <w:spacing w:after="312" w:afterLines="100"/>
        <w:jc w:val="center"/>
        <w:rPr>
          <w:rFonts w:hint="eastAsia" w:ascii="宋体" w:hAnsi="宋体"/>
          <w:bCs w:val="0"/>
          <w:color w:val="auto"/>
          <w:kern w:val="0"/>
          <w:sz w:val="32"/>
          <w:highlight w:val="none"/>
        </w:rPr>
      </w:pPr>
      <w:bookmarkStart w:id="301" w:name="_Toc72846704"/>
      <w:bookmarkStart w:id="302" w:name="_Toc18404975"/>
      <w:bookmarkStart w:id="303" w:name="_Toc61616139"/>
      <w:bookmarkStart w:id="304" w:name="_Toc72846855"/>
      <w:r>
        <w:rPr>
          <w:rFonts w:hint="eastAsia" w:ascii="宋体" w:hAnsi="宋体"/>
          <w:bCs w:val="0"/>
          <w:color w:val="auto"/>
          <w:kern w:val="0"/>
          <w:sz w:val="32"/>
          <w:highlight w:val="none"/>
        </w:rPr>
        <w:t>四、授权委托书</w:t>
      </w:r>
      <w:bookmarkEnd w:id="300"/>
      <w:bookmarkEnd w:id="301"/>
      <w:bookmarkEnd w:id="302"/>
      <w:bookmarkEnd w:id="303"/>
      <w:bookmarkEnd w:id="304"/>
    </w:p>
    <w:p w14:paraId="49CFCC04">
      <w:pPr>
        <w:rPr>
          <w:color w:val="auto"/>
          <w:highlight w:val="none"/>
        </w:rPr>
      </w:pPr>
    </w:p>
    <w:p w14:paraId="142D64C1">
      <w:pPr>
        <w:pStyle w:val="33"/>
        <w:spacing w:line="440" w:lineRule="atLeast"/>
        <w:rPr>
          <w:rFonts w:hAnsi="宋体"/>
          <w:color w:val="auto"/>
          <w:highlight w:val="none"/>
        </w:rPr>
      </w:pPr>
      <w:r>
        <w:rPr>
          <w:rFonts w:hint="eastAsia" w:hAnsi="宋体"/>
          <w:color w:val="auto"/>
          <w:sz w:val="21"/>
          <w:szCs w:val="21"/>
          <w:highlight w:val="none"/>
        </w:rPr>
        <w:t xml:space="preserve">   </w:t>
      </w:r>
      <w:r>
        <w:rPr>
          <w:rFonts w:hint="eastAsia" w:hAnsi="宋体"/>
          <w:color w:val="auto"/>
          <w:highlight w:val="none"/>
        </w:rPr>
        <w:t xml:space="preserve"> 本人</w:t>
      </w:r>
      <w:r>
        <w:rPr>
          <w:rFonts w:hAnsi="宋体"/>
          <w:color w:val="auto"/>
          <w:highlight w:val="none"/>
          <w:u w:val="single"/>
        </w:rPr>
        <w:t xml:space="preserve">         </w:t>
      </w:r>
      <w:r>
        <w:rPr>
          <w:rFonts w:hint="eastAsia" w:hAnsi="宋体"/>
          <w:color w:val="auto"/>
          <w:highlight w:val="none"/>
        </w:rPr>
        <w:t>（姓名）系</w:t>
      </w:r>
      <w:r>
        <w:rPr>
          <w:rFonts w:hAnsi="宋体"/>
          <w:color w:val="auto"/>
          <w:highlight w:val="none"/>
          <w:u w:val="single"/>
        </w:rPr>
        <w:t xml:space="preserve">         </w:t>
      </w:r>
      <w:r>
        <w:rPr>
          <w:rFonts w:hint="eastAsia" w:hAnsi="宋体"/>
          <w:color w:val="auto"/>
          <w:highlight w:val="none"/>
        </w:rPr>
        <w:t>（投标人名称）的法定代表人，现委托</w:t>
      </w:r>
      <w:r>
        <w:rPr>
          <w:rFonts w:hAnsi="宋体"/>
          <w:color w:val="auto"/>
          <w:highlight w:val="none"/>
          <w:u w:val="single"/>
        </w:rPr>
        <w:t xml:space="preserve">         </w:t>
      </w:r>
      <w:r>
        <w:rPr>
          <w:rFonts w:hint="eastAsia" w:hAnsi="宋体"/>
          <w:color w:val="auto"/>
          <w:highlight w:val="none"/>
        </w:rPr>
        <w:t>（姓名）为我方代理人。代理人根据授权，以我方名义签署、澄清、说明、补正、递交、撤回、修改</w:t>
      </w:r>
      <w:r>
        <w:rPr>
          <w:rFonts w:hAnsi="宋体"/>
          <w:color w:val="auto"/>
          <w:highlight w:val="none"/>
          <w:u w:val="single"/>
        </w:rPr>
        <w:t xml:space="preserve">            </w:t>
      </w:r>
      <w:r>
        <w:rPr>
          <w:rFonts w:hint="eastAsia" w:hAnsi="宋体"/>
          <w:color w:val="auto"/>
          <w:highlight w:val="none"/>
        </w:rPr>
        <w:t>（项目名称）</w:t>
      </w:r>
      <w:r>
        <w:rPr>
          <w:rFonts w:hAnsi="宋体"/>
          <w:color w:val="auto"/>
          <w:highlight w:val="none"/>
          <w:u w:val="single"/>
        </w:rPr>
        <w:t xml:space="preserve">            </w:t>
      </w:r>
      <w:r>
        <w:rPr>
          <w:rFonts w:hint="eastAsia" w:hAnsi="宋体"/>
          <w:color w:val="auto"/>
          <w:highlight w:val="none"/>
        </w:rPr>
        <w:t>施工投标文件、签订合同和处理有关事宜，其法律后果由我方承担。附：法定代表人身份证明</w:t>
      </w:r>
    </w:p>
    <w:p w14:paraId="7F746E44">
      <w:pPr>
        <w:pStyle w:val="30"/>
        <w:ind w:firstLine="480" w:firstLineChars="200"/>
        <w:rPr>
          <w:rFonts w:hAnsi="宋体" w:cs="Times New Roman"/>
          <w:color w:val="auto"/>
          <w:highlight w:val="none"/>
        </w:rPr>
      </w:pPr>
      <w:r>
        <w:rPr>
          <w:rFonts w:hint="eastAsia" w:hAnsi="宋体"/>
          <w:color w:val="auto"/>
          <w:highlight w:val="none"/>
        </w:rPr>
        <w:t>委托期限：</w:t>
      </w:r>
      <w:r>
        <w:rPr>
          <w:rFonts w:hAnsi="宋体"/>
          <w:color w:val="auto"/>
          <w:highlight w:val="none"/>
          <w:u w:val="single"/>
        </w:rPr>
        <w:t xml:space="preserve">            </w:t>
      </w:r>
      <w:r>
        <w:rPr>
          <w:rFonts w:hint="eastAsia" w:hAnsi="宋体"/>
          <w:color w:val="auto"/>
          <w:highlight w:val="none"/>
        </w:rPr>
        <w:t>。</w:t>
      </w:r>
    </w:p>
    <w:p w14:paraId="53AD91B0">
      <w:pPr>
        <w:pStyle w:val="30"/>
        <w:rPr>
          <w:rFonts w:hAnsi="宋体" w:cs="Times New Roman"/>
          <w:color w:val="auto"/>
          <w:highlight w:val="none"/>
        </w:rPr>
      </w:pPr>
    </w:p>
    <w:p w14:paraId="5E71A4D8">
      <w:pPr>
        <w:pStyle w:val="30"/>
        <w:ind w:firstLine="480" w:firstLineChars="200"/>
        <w:rPr>
          <w:rFonts w:hAnsi="宋体" w:cs="Times New Roman"/>
          <w:color w:val="auto"/>
          <w:highlight w:val="none"/>
        </w:rPr>
      </w:pPr>
      <w:r>
        <w:rPr>
          <w:rFonts w:hint="eastAsia" w:hAnsi="宋体"/>
          <w:color w:val="auto"/>
          <w:highlight w:val="none"/>
        </w:rPr>
        <w:t>代理人无转委托权。</w:t>
      </w:r>
    </w:p>
    <w:p w14:paraId="4B82BE9F">
      <w:pPr>
        <w:pStyle w:val="30"/>
        <w:rPr>
          <w:rFonts w:hAnsi="宋体" w:cs="Times New Roman"/>
          <w:color w:val="auto"/>
          <w:highlight w:val="none"/>
        </w:rPr>
      </w:pPr>
    </w:p>
    <w:p w14:paraId="596D2986">
      <w:pPr>
        <w:pStyle w:val="30"/>
        <w:tabs>
          <w:tab w:val="left" w:pos="3720"/>
        </w:tabs>
        <w:ind w:firstLine="480" w:firstLineChars="200"/>
        <w:rPr>
          <w:rFonts w:hAnsi="宋体" w:cs="Times New Roman"/>
          <w:color w:val="auto"/>
          <w:highlight w:val="none"/>
        </w:rPr>
      </w:pPr>
      <w:r>
        <w:rPr>
          <w:rFonts w:hint="eastAsia" w:hAnsi="宋体"/>
          <w:color w:val="auto"/>
          <w:highlight w:val="none"/>
        </w:rPr>
        <w:t>附委托代理人身份证复印件</w:t>
      </w:r>
      <w:r>
        <w:rPr>
          <w:rFonts w:hAnsi="宋体" w:cs="Times New Roman"/>
          <w:color w:val="auto"/>
          <w:highlight w:val="none"/>
        </w:rPr>
        <w:tab/>
      </w:r>
    </w:p>
    <w:p w14:paraId="2BFE8FB6">
      <w:pPr>
        <w:pStyle w:val="30"/>
        <w:tabs>
          <w:tab w:val="left" w:pos="3720"/>
        </w:tabs>
        <w:rPr>
          <w:rFonts w:hAnsi="宋体" w:cs="Times New Roman"/>
          <w:color w:val="auto"/>
          <w:highlight w:val="none"/>
        </w:rPr>
      </w:pPr>
    </w:p>
    <w:p w14:paraId="67213DF6">
      <w:pPr>
        <w:pStyle w:val="30"/>
        <w:tabs>
          <w:tab w:val="left" w:pos="3720"/>
        </w:tabs>
        <w:rPr>
          <w:rFonts w:hAnsi="宋体" w:cs="Times New Roman"/>
          <w:color w:val="auto"/>
          <w:highlight w:val="none"/>
        </w:rPr>
      </w:pPr>
    </w:p>
    <w:p w14:paraId="6FE819BB">
      <w:pPr>
        <w:pStyle w:val="30"/>
        <w:tabs>
          <w:tab w:val="left" w:pos="3720"/>
        </w:tabs>
        <w:rPr>
          <w:rFonts w:hAnsi="宋体" w:cs="Times New Roman"/>
          <w:color w:val="auto"/>
          <w:highlight w:val="none"/>
        </w:rPr>
      </w:pPr>
    </w:p>
    <w:p w14:paraId="11EC7906">
      <w:pPr>
        <w:pStyle w:val="30"/>
        <w:tabs>
          <w:tab w:val="left" w:pos="3720"/>
        </w:tabs>
        <w:rPr>
          <w:rFonts w:hAnsi="宋体" w:cs="Times New Roman"/>
          <w:color w:val="auto"/>
          <w:highlight w:val="none"/>
        </w:rPr>
      </w:pPr>
    </w:p>
    <w:p w14:paraId="57C10D48">
      <w:pPr>
        <w:pStyle w:val="30"/>
        <w:tabs>
          <w:tab w:val="left" w:pos="3720"/>
        </w:tabs>
        <w:rPr>
          <w:rFonts w:hAnsi="宋体" w:cs="Times New Roman"/>
          <w:color w:val="auto"/>
          <w:highlight w:val="none"/>
        </w:rPr>
      </w:pPr>
      <w:r>
        <w:rPr>
          <w:rFonts w:hint="eastAsia" w:hAnsi="宋体"/>
          <w:color w:val="auto"/>
          <w:highlight w:val="none"/>
        </w:rPr>
        <w:t>投标人：</w:t>
      </w:r>
      <w:r>
        <w:rPr>
          <w:rFonts w:hAnsi="宋体"/>
          <w:color w:val="auto"/>
          <w:highlight w:val="none"/>
          <w:u w:val="single"/>
        </w:rPr>
        <w:t xml:space="preserve">                                </w:t>
      </w:r>
      <w:r>
        <w:rPr>
          <w:rFonts w:hint="eastAsia" w:hAnsi="宋体"/>
          <w:color w:val="auto"/>
          <w:highlight w:val="none"/>
        </w:rPr>
        <w:t>（盖单位章）</w:t>
      </w:r>
    </w:p>
    <w:p w14:paraId="2599DB1F">
      <w:pPr>
        <w:pStyle w:val="30"/>
        <w:tabs>
          <w:tab w:val="left" w:pos="3720"/>
        </w:tabs>
        <w:rPr>
          <w:rFonts w:hAnsi="宋体" w:cs="Times New Roman"/>
          <w:color w:val="auto"/>
          <w:highlight w:val="none"/>
        </w:rPr>
      </w:pPr>
    </w:p>
    <w:p w14:paraId="388EECF4">
      <w:pPr>
        <w:pStyle w:val="30"/>
        <w:tabs>
          <w:tab w:val="left" w:pos="3720"/>
        </w:tabs>
        <w:rPr>
          <w:rFonts w:hAnsi="宋体" w:cs="Times New Roman"/>
          <w:color w:val="auto"/>
          <w:highlight w:val="none"/>
        </w:rPr>
      </w:pPr>
      <w:r>
        <w:rPr>
          <w:rFonts w:hint="eastAsia" w:hAnsi="宋体"/>
          <w:color w:val="auto"/>
          <w:highlight w:val="none"/>
        </w:rPr>
        <w:t>法人代表人：</w:t>
      </w:r>
      <w:r>
        <w:rPr>
          <w:rFonts w:hAnsi="宋体"/>
          <w:color w:val="auto"/>
          <w:highlight w:val="none"/>
          <w:u w:val="single"/>
        </w:rPr>
        <w:t xml:space="preserve">                                </w:t>
      </w:r>
      <w:r>
        <w:rPr>
          <w:rFonts w:hint="eastAsia" w:hAnsi="宋体"/>
          <w:color w:val="auto"/>
          <w:highlight w:val="none"/>
        </w:rPr>
        <w:t>（签字或盖章）</w:t>
      </w:r>
    </w:p>
    <w:p w14:paraId="21366E28">
      <w:pPr>
        <w:pStyle w:val="30"/>
        <w:tabs>
          <w:tab w:val="left" w:pos="3720"/>
        </w:tabs>
        <w:rPr>
          <w:rFonts w:hAnsi="宋体" w:cs="Times New Roman"/>
          <w:color w:val="auto"/>
          <w:highlight w:val="none"/>
        </w:rPr>
      </w:pPr>
    </w:p>
    <w:p w14:paraId="6411D5C9">
      <w:pPr>
        <w:pStyle w:val="30"/>
        <w:tabs>
          <w:tab w:val="left" w:pos="3720"/>
        </w:tabs>
        <w:rPr>
          <w:rFonts w:hAnsi="宋体"/>
          <w:color w:val="auto"/>
          <w:highlight w:val="none"/>
        </w:rPr>
      </w:pPr>
      <w:r>
        <w:rPr>
          <w:rFonts w:hint="eastAsia" w:hAnsi="宋体"/>
          <w:color w:val="auto"/>
          <w:highlight w:val="none"/>
        </w:rPr>
        <w:t>身份证号码：</w:t>
      </w:r>
      <w:r>
        <w:rPr>
          <w:rFonts w:hAnsi="宋体"/>
          <w:color w:val="auto"/>
          <w:highlight w:val="none"/>
          <w:u w:val="single"/>
        </w:rPr>
        <w:t xml:space="preserve">                                      </w:t>
      </w:r>
      <w:r>
        <w:rPr>
          <w:rFonts w:hAnsi="宋体"/>
          <w:color w:val="auto"/>
          <w:highlight w:val="none"/>
        </w:rPr>
        <w:t xml:space="preserve"> </w:t>
      </w:r>
    </w:p>
    <w:p w14:paraId="225B27F3">
      <w:pPr>
        <w:pStyle w:val="30"/>
        <w:tabs>
          <w:tab w:val="left" w:pos="3720"/>
        </w:tabs>
        <w:rPr>
          <w:rFonts w:hAnsi="宋体" w:cs="Times New Roman"/>
          <w:color w:val="auto"/>
          <w:highlight w:val="none"/>
        </w:rPr>
      </w:pPr>
    </w:p>
    <w:p w14:paraId="06943F3B">
      <w:pPr>
        <w:pStyle w:val="30"/>
        <w:tabs>
          <w:tab w:val="left" w:pos="3720"/>
        </w:tabs>
        <w:rPr>
          <w:rFonts w:hAnsi="宋体" w:cs="Times New Roman"/>
          <w:color w:val="auto"/>
          <w:highlight w:val="none"/>
          <w:u w:val="single"/>
        </w:rPr>
      </w:pPr>
      <w:r>
        <w:rPr>
          <w:rFonts w:hint="eastAsia" w:hAnsi="宋体"/>
          <w:color w:val="auto"/>
          <w:highlight w:val="none"/>
        </w:rPr>
        <w:t>委托代理人：</w:t>
      </w:r>
      <w:r>
        <w:rPr>
          <w:rFonts w:hAnsi="宋体"/>
          <w:color w:val="auto"/>
          <w:highlight w:val="none"/>
          <w:u w:val="single"/>
        </w:rPr>
        <w:t xml:space="preserve">                                 </w:t>
      </w:r>
      <w:r>
        <w:rPr>
          <w:rFonts w:hint="eastAsia" w:hAnsi="宋体"/>
          <w:color w:val="auto"/>
          <w:highlight w:val="none"/>
        </w:rPr>
        <w:t>（签字或盖章）</w:t>
      </w:r>
      <w:r>
        <w:rPr>
          <w:rFonts w:hAnsi="宋体"/>
          <w:color w:val="auto"/>
          <w:highlight w:val="none"/>
        </w:rPr>
        <w:t xml:space="preserve"> </w:t>
      </w:r>
    </w:p>
    <w:p w14:paraId="609BE8FE">
      <w:pPr>
        <w:pStyle w:val="30"/>
        <w:rPr>
          <w:rFonts w:hAnsi="宋体" w:cs="Times New Roman"/>
          <w:color w:val="auto"/>
          <w:highlight w:val="none"/>
        </w:rPr>
      </w:pPr>
    </w:p>
    <w:p w14:paraId="40BAAA1A">
      <w:pPr>
        <w:pStyle w:val="30"/>
        <w:rPr>
          <w:rFonts w:hAnsi="宋体" w:cs="Times New Roman"/>
          <w:color w:val="auto"/>
          <w:highlight w:val="none"/>
        </w:rPr>
      </w:pPr>
      <w:r>
        <w:rPr>
          <w:rFonts w:hint="eastAsia" w:hAnsi="宋体"/>
          <w:color w:val="auto"/>
          <w:highlight w:val="none"/>
        </w:rPr>
        <w:t>身份证号码</w:t>
      </w:r>
      <w:r>
        <w:rPr>
          <w:rFonts w:hAnsi="宋体"/>
          <w:color w:val="auto"/>
          <w:highlight w:val="none"/>
        </w:rPr>
        <w:t xml:space="preserve">: </w:t>
      </w:r>
      <w:r>
        <w:rPr>
          <w:rFonts w:hAnsi="宋体"/>
          <w:color w:val="auto"/>
          <w:highlight w:val="none"/>
          <w:u w:val="single"/>
        </w:rPr>
        <w:t xml:space="preserve">                                       </w:t>
      </w:r>
    </w:p>
    <w:p w14:paraId="6EE01C99">
      <w:pPr>
        <w:pStyle w:val="30"/>
        <w:rPr>
          <w:rFonts w:hAnsi="宋体" w:cs="Times New Roman"/>
          <w:color w:val="auto"/>
          <w:highlight w:val="none"/>
        </w:rPr>
      </w:pPr>
    </w:p>
    <w:p w14:paraId="4605BEB0">
      <w:pPr>
        <w:pStyle w:val="33"/>
        <w:jc w:val="center"/>
        <w:rPr>
          <w:rFonts w:hAnsi="宋体"/>
          <w:color w:val="auto"/>
          <w:highlight w:val="none"/>
        </w:rPr>
      </w:pPr>
    </w:p>
    <w:p w14:paraId="14572BCB">
      <w:pPr>
        <w:pStyle w:val="33"/>
        <w:jc w:val="center"/>
        <w:rPr>
          <w:rFonts w:hAnsi="宋体"/>
          <w:color w:val="auto"/>
          <w:highlight w:val="none"/>
        </w:rPr>
      </w:pPr>
    </w:p>
    <w:p w14:paraId="58D005E0">
      <w:pPr>
        <w:pStyle w:val="33"/>
        <w:jc w:val="right"/>
        <w:rPr>
          <w:rFonts w:hAnsi="宋体"/>
          <w:color w:val="auto"/>
          <w:highlight w:val="none"/>
        </w:rPr>
      </w:pPr>
      <w:r>
        <w:rPr>
          <w:rFonts w:hAnsi="宋体" w:cs="黑体"/>
          <w:color w:val="auto"/>
          <w:highlight w:val="none"/>
          <w:u w:val="single"/>
        </w:rPr>
        <w:t xml:space="preserve">       </w:t>
      </w:r>
      <w:r>
        <w:rPr>
          <w:rFonts w:hint="eastAsia" w:hAnsi="宋体" w:cs="黑体"/>
          <w:color w:val="auto"/>
          <w:highlight w:val="none"/>
        </w:rPr>
        <w:t>年</w:t>
      </w:r>
      <w:r>
        <w:rPr>
          <w:rFonts w:hAnsi="宋体" w:cs="黑体"/>
          <w:color w:val="auto"/>
          <w:highlight w:val="none"/>
          <w:u w:val="single"/>
        </w:rPr>
        <w:t xml:space="preserve">       </w:t>
      </w:r>
      <w:r>
        <w:rPr>
          <w:rFonts w:hint="eastAsia" w:hAnsi="宋体" w:cs="黑体"/>
          <w:color w:val="auto"/>
          <w:highlight w:val="none"/>
        </w:rPr>
        <w:t>月</w:t>
      </w:r>
      <w:r>
        <w:rPr>
          <w:rFonts w:hAnsi="宋体" w:cs="黑体"/>
          <w:color w:val="auto"/>
          <w:highlight w:val="none"/>
          <w:u w:val="single"/>
        </w:rPr>
        <w:t xml:space="preserve">       </w:t>
      </w:r>
      <w:r>
        <w:rPr>
          <w:rFonts w:hint="eastAsia" w:hAnsi="宋体" w:cs="黑体"/>
          <w:color w:val="auto"/>
          <w:highlight w:val="none"/>
        </w:rPr>
        <w:t>日</w:t>
      </w:r>
    </w:p>
    <w:p w14:paraId="07B304F4">
      <w:pPr>
        <w:pStyle w:val="5"/>
        <w:jc w:val="center"/>
        <w:rPr>
          <w:rFonts w:hint="eastAsia" w:ascii="宋体" w:hAnsi="宋体"/>
          <w:bCs w:val="0"/>
          <w:color w:val="auto"/>
          <w:kern w:val="0"/>
          <w:sz w:val="32"/>
          <w:highlight w:val="none"/>
        </w:rPr>
      </w:pPr>
      <w:r>
        <w:rPr>
          <w:rFonts w:ascii="宋体" w:hAnsi="宋体"/>
          <w:bCs w:val="0"/>
          <w:color w:val="auto"/>
          <w:kern w:val="0"/>
          <w:sz w:val="24"/>
          <w:szCs w:val="24"/>
          <w:highlight w:val="none"/>
        </w:rPr>
        <w:br w:type="page"/>
      </w:r>
      <w:bookmarkStart w:id="305" w:name="_Toc61616140"/>
      <w:bookmarkStart w:id="306" w:name="_Toc72846856"/>
      <w:bookmarkStart w:id="307" w:name="_Toc18404976"/>
      <w:bookmarkStart w:id="308" w:name="_Toc72846705"/>
      <w:r>
        <w:rPr>
          <w:rFonts w:hint="eastAsia" w:ascii="宋体" w:hAnsi="宋体"/>
          <w:bCs w:val="0"/>
          <w:color w:val="auto"/>
          <w:kern w:val="0"/>
          <w:sz w:val="32"/>
          <w:highlight w:val="none"/>
        </w:rPr>
        <w:t>五、投标保证金交纳凭据</w:t>
      </w:r>
      <w:bookmarkEnd w:id="305"/>
      <w:bookmarkEnd w:id="306"/>
      <w:bookmarkEnd w:id="307"/>
      <w:bookmarkEnd w:id="308"/>
    </w:p>
    <w:p w14:paraId="64712E8A">
      <w:pPr>
        <w:autoSpaceDE w:val="0"/>
        <w:autoSpaceDN w:val="0"/>
        <w:adjustRightInd w:val="0"/>
        <w:spacing w:line="520" w:lineRule="exact"/>
        <w:jc w:val="left"/>
        <w:rPr>
          <w:rFonts w:hint="eastAsia"/>
          <w:color w:val="auto"/>
          <w:kern w:val="0"/>
          <w:highlight w:val="none"/>
          <w:u w:val="single"/>
        </w:rPr>
      </w:pPr>
    </w:p>
    <w:p w14:paraId="6EBF0D5D">
      <w:pPr>
        <w:pStyle w:val="5"/>
        <w:spacing w:after="312" w:afterLines="100"/>
        <w:jc w:val="center"/>
        <w:rPr>
          <w:b w:val="0"/>
          <w:color w:val="auto"/>
          <w:kern w:val="0"/>
          <w:highlight w:val="none"/>
        </w:rPr>
      </w:pPr>
      <w:bookmarkStart w:id="309" w:name="_Toc72846706"/>
      <w:bookmarkStart w:id="310" w:name="_Toc61616141"/>
      <w:bookmarkStart w:id="311" w:name="_Toc18404977"/>
      <w:bookmarkStart w:id="312" w:name="_Toc72846857"/>
      <w:r>
        <w:rPr>
          <w:rFonts w:hint="eastAsia"/>
          <w:b w:val="0"/>
          <w:color w:val="auto"/>
          <w:kern w:val="0"/>
          <w:highlight w:val="none"/>
        </w:rPr>
        <w:t>（网银底单、电汇底单或截图复印件均可）</w:t>
      </w:r>
      <w:bookmarkEnd w:id="309"/>
      <w:bookmarkEnd w:id="310"/>
      <w:bookmarkEnd w:id="311"/>
      <w:bookmarkEnd w:id="312"/>
    </w:p>
    <w:p w14:paraId="68209FA0">
      <w:pPr>
        <w:rPr>
          <w:color w:val="auto"/>
          <w:highlight w:val="none"/>
        </w:rPr>
      </w:pPr>
    </w:p>
    <w:p w14:paraId="385A89B7">
      <w:pPr>
        <w:pStyle w:val="5"/>
        <w:jc w:val="center"/>
        <w:rPr>
          <w:rFonts w:hint="eastAsia" w:ascii="宋体" w:hAnsi="宋体"/>
          <w:color w:val="auto"/>
          <w:kern w:val="0"/>
          <w:sz w:val="32"/>
          <w:szCs w:val="28"/>
          <w:highlight w:val="none"/>
        </w:rPr>
      </w:pPr>
      <w:r>
        <w:rPr>
          <w:rFonts w:ascii="宋体" w:hAnsi="宋体"/>
          <w:color w:val="auto"/>
          <w:kern w:val="0"/>
          <w:sz w:val="32"/>
          <w:szCs w:val="28"/>
          <w:highlight w:val="none"/>
        </w:rPr>
        <w:br w:type="page"/>
      </w:r>
      <w:bookmarkStart w:id="313" w:name="_Toc61616149"/>
      <w:bookmarkStart w:id="314" w:name="_Toc18404985"/>
      <w:bookmarkStart w:id="315" w:name="_Toc72846865"/>
      <w:bookmarkStart w:id="316" w:name="_Toc72846714"/>
      <w:r>
        <w:rPr>
          <w:rFonts w:hint="eastAsia" w:ascii="宋体" w:hAnsi="宋体"/>
          <w:color w:val="auto"/>
          <w:kern w:val="0"/>
          <w:sz w:val="32"/>
          <w:szCs w:val="28"/>
          <w:highlight w:val="none"/>
        </w:rPr>
        <w:t>六、项目管理机构</w:t>
      </w:r>
      <w:bookmarkEnd w:id="313"/>
      <w:bookmarkEnd w:id="314"/>
      <w:bookmarkEnd w:id="315"/>
      <w:bookmarkEnd w:id="316"/>
    </w:p>
    <w:p w14:paraId="3F58625A">
      <w:pPr>
        <w:pStyle w:val="6"/>
        <w:jc w:val="center"/>
        <w:rPr>
          <w:rFonts w:hint="eastAsia"/>
          <w:color w:val="auto"/>
          <w:kern w:val="0"/>
          <w:szCs w:val="24"/>
          <w:highlight w:val="none"/>
        </w:rPr>
      </w:pPr>
      <w:bookmarkStart w:id="317" w:name="_Toc18404986"/>
      <w:bookmarkStart w:id="318" w:name="_Toc72846866"/>
      <w:bookmarkStart w:id="319" w:name="_Toc322004761"/>
      <w:bookmarkStart w:id="320" w:name="_Toc72846715"/>
      <w:bookmarkStart w:id="321" w:name="_Toc290118964"/>
      <w:bookmarkStart w:id="322" w:name="_Toc61616150"/>
      <w:bookmarkStart w:id="323" w:name="_Toc322004616"/>
      <w:bookmarkStart w:id="324" w:name="_Toc320951800"/>
      <w:r>
        <w:rPr>
          <w:rFonts w:hint="eastAsia"/>
          <w:color w:val="auto"/>
          <w:kern w:val="0"/>
          <w:szCs w:val="24"/>
          <w:highlight w:val="none"/>
        </w:rPr>
        <w:t>（一）项目管理机构组成表</w:t>
      </w:r>
      <w:bookmarkEnd w:id="317"/>
      <w:bookmarkEnd w:id="318"/>
      <w:bookmarkEnd w:id="319"/>
      <w:bookmarkEnd w:id="320"/>
      <w:bookmarkEnd w:id="321"/>
      <w:bookmarkEnd w:id="322"/>
      <w:bookmarkEnd w:id="323"/>
      <w:bookmarkEnd w:id="324"/>
    </w:p>
    <w:p w14:paraId="6537030E">
      <w:pPr>
        <w:rPr>
          <w:rFonts w:hint="eastAsia"/>
          <w:color w:val="auto"/>
          <w:kern w:val="0"/>
          <w:sz w:val="24"/>
          <w:szCs w:val="24"/>
          <w:highlight w:val="none"/>
        </w:rPr>
      </w:pPr>
    </w:p>
    <w:tbl>
      <w:tblPr>
        <w:tblStyle w:val="21"/>
        <w:tblW w:w="9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830"/>
        <w:gridCol w:w="791"/>
        <w:gridCol w:w="1780"/>
        <w:gridCol w:w="1452"/>
        <w:gridCol w:w="1867"/>
        <w:gridCol w:w="1582"/>
        <w:gridCol w:w="776"/>
      </w:tblGrid>
      <w:tr w14:paraId="56AF1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2A9651B9">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职务</w:t>
            </w:r>
          </w:p>
        </w:tc>
        <w:tc>
          <w:tcPr>
            <w:tcW w:w="830" w:type="dxa"/>
            <w:noWrap w:val="0"/>
            <w:vAlign w:val="center"/>
          </w:tcPr>
          <w:p w14:paraId="6839C052">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姓名</w:t>
            </w:r>
          </w:p>
        </w:tc>
        <w:tc>
          <w:tcPr>
            <w:tcW w:w="791" w:type="dxa"/>
            <w:noWrap w:val="0"/>
            <w:vAlign w:val="center"/>
          </w:tcPr>
          <w:p w14:paraId="1FC1CB6B">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职称</w:t>
            </w:r>
          </w:p>
        </w:tc>
        <w:tc>
          <w:tcPr>
            <w:tcW w:w="6681" w:type="dxa"/>
            <w:gridSpan w:val="4"/>
            <w:noWrap w:val="0"/>
            <w:vAlign w:val="center"/>
          </w:tcPr>
          <w:p w14:paraId="20F46FAD">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执业或职业资格证明</w:t>
            </w:r>
          </w:p>
        </w:tc>
        <w:tc>
          <w:tcPr>
            <w:tcW w:w="776" w:type="dxa"/>
            <w:noWrap w:val="0"/>
            <w:vAlign w:val="center"/>
          </w:tcPr>
          <w:p w14:paraId="40D7FFE7">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备注</w:t>
            </w:r>
          </w:p>
        </w:tc>
      </w:tr>
      <w:tr w14:paraId="650AC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3D7B9B50">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39E5F446">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62C7C4A4">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745CB971">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证书名称</w:t>
            </w:r>
          </w:p>
        </w:tc>
        <w:tc>
          <w:tcPr>
            <w:tcW w:w="1452" w:type="dxa"/>
            <w:noWrap w:val="0"/>
            <w:vAlign w:val="center"/>
          </w:tcPr>
          <w:p w14:paraId="3D53E2A7">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级别</w:t>
            </w:r>
          </w:p>
        </w:tc>
        <w:tc>
          <w:tcPr>
            <w:tcW w:w="1867" w:type="dxa"/>
            <w:noWrap w:val="0"/>
            <w:vAlign w:val="center"/>
          </w:tcPr>
          <w:p w14:paraId="0D731C8F">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证号</w:t>
            </w:r>
          </w:p>
        </w:tc>
        <w:tc>
          <w:tcPr>
            <w:tcW w:w="1582" w:type="dxa"/>
            <w:noWrap w:val="0"/>
            <w:vAlign w:val="center"/>
          </w:tcPr>
          <w:p w14:paraId="3EC7332D">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专业</w:t>
            </w:r>
          </w:p>
        </w:tc>
        <w:tc>
          <w:tcPr>
            <w:tcW w:w="776" w:type="dxa"/>
            <w:noWrap w:val="0"/>
            <w:vAlign w:val="center"/>
          </w:tcPr>
          <w:p w14:paraId="6AC17074">
            <w:pPr>
              <w:autoSpaceDE w:val="0"/>
              <w:autoSpaceDN w:val="0"/>
              <w:adjustRightInd w:val="0"/>
              <w:spacing w:line="520" w:lineRule="exact"/>
              <w:jc w:val="center"/>
              <w:rPr>
                <w:rFonts w:hint="eastAsia"/>
                <w:color w:val="auto"/>
                <w:kern w:val="0"/>
                <w:sz w:val="24"/>
                <w:szCs w:val="24"/>
                <w:highlight w:val="none"/>
              </w:rPr>
            </w:pPr>
          </w:p>
        </w:tc>
      </w:tr>
      <w:tr w14:paraId="6D2FB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5F0DF5A0">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372A9AD2">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481998B5">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3B5CACCD">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60E3BA61">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2A27AD36">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096352E6">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39A59E40">
            <w:pPr>
              <w:autoSpaceDE w:val="0"/>
              <w:autoSpaceDN w:val="0"/>
              <w:adjustRightInd w:val="0"/>
              <w:spacing w:line="520" w:lineRule="exact"/>
              <w:jc w:val="center"/>
              <w:rPr>
                <w:rFonts w:hint="eastAsia"/>
                <w:color w:val="auto"/>
                <w:kern w:val="0"/>
                <w:sz w:val="24"/>
                <w:szCs w:val="24"/>
                <w:highlight w:val="none"/>
              </w:rPr>
            </w:pPr>
          </w:p>
        </w:tc>
      </w:tr>
      <w:tr w14:paraId="0C42F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1872DFB4">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00A34F8B">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288306BA">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27416C7F">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7768DA3A">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06480B82">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24032377">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4482B796">
            <w:pPr>
              <w:autoSpaceDE w:val="0"/>
              <w:autoSpaceDN w:val="0"/>
              <w:adjustRightInd w:val="0"/>
              <w:spacing w:line="520" w:lineRule="exact"/>
              <w:jc w:val="center"/>
              <w:rPr>
                <w:rFonts w:hint="eastAsia"/>
                <w:color w:val="auto"/>
                <w:kern w:val="0"/>
                <w:sz w:val="24"/>
                <w:szCs w:val="24"/>
                <w:highlight w:val="none"/>
              </w:rPr>
            </w:pPr>
          </w:p>
        </w:tc>
      </w:tr>
      <w:tr w14:paraId="0BA28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4BB9700A">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29C8542B">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4D6A27B1">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1FC6E26C">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6297BA5A">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23759996">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3241D383">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2D8EA638">
            <w:pPr>
              <w:autoSpaceDE w:val="0"/>
              <w:autoSpaceDN w:val="0"/>
              <w:adjustRightInd w:val="0"/>
              <w:spacing w:line="520" w:lineRule="exact"/>
              <w:jc w:val="center"/>
              <w:rPr>
                <w:rFonts w:hint="eastAsia"/>
                <w:color w:val="auto"/>
                <w:kern w:val="0"/>
                <w:sz w:val="24"/>
                <w:szCs w:val="24"/>
                <w:highlight w:val="none"/>
              </w:rPr>
            </w:pPr>
          </w:p>
        </w:tc>
      </w:tr>
      <w:tr w14:paraId="28AD7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78B8B332">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1346D5B0">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2E516539">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5131A5D3">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2B416A8B">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2613A200">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759B5344">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6CEA894C">
            <w:pPr>
              <w:autoSpaceDE w:val="0"/>
              <w:autoSpaceDN w:val="0"/>
              <w:adjustRightInd w:val="0"/>
              <w:spacing w:line="520" w:lineRule="exact"/>
              <w:jc w:val="center"/>
              <w:rPr>
                <w:rFonts w:hint="eastAsia"/>
                <w:color w:val="auto"/>
                <w:kern w:val="0"/>
                <w:sz w:val="24"/>
                <w:szCs w:val="24"/>
                <w:highlight w:val="none"/>
              </w:rPr>
            </w:pPr>
          </w:p>
        </w:tc>
      </w:tr>
      <w:tr w14:paraId="2A10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63C7ECBD">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08725D97">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2B8EE3AD">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4526EF3B">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38EF8F9F">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0E0E2BB1">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3B5A3253">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3F9E24C8">
            <w:pPr>
              <w:autoSpaceDE w:val="0"/>
              <w:autoSpaceDN w:val="0"/>
              <w:adjustRightInd w:val="0"/>
              <w:spacing w:line="520" w:lineRule="exact"/>
              <w:jc w:val="center"/>
              <w:rPr>
                <w:rFonts w:hint="eastAsia"/>
                <w:color w:val="auto"/>
                <w:kern w:val="0"/>
                <w:sz w:val="24"/>
                <w:szCs w:val="24"/>
                <w:highlight w:val="none"/>
              </w:rPr>
            </w:pPr>
          </w:p>
        </w:tc>
      </w:tr>
      <w:tr w14:paraId="09B65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29E4CB13">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18043713">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71AA7B1D">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68C60C34">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54271BA3">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7ED421A7">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09A831DE">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388EC4AE">
            <w:pPr>
              <w:autoSpaceDE w:val="0"/>
              <w:autoSpaceDN w:val="0"/>
              <w:adjustRightInd w:val="0"/>
              <w:spacing w:line="520" w:lineRule="exact"/>
              <w:jc w:val="center"/>
              <w:rPr>
                <w:rFonts w:hint="eastAsia"/>
                <w:color w:val="auto"/>
                <w:kern w:val="0"/>
                <w:sz w:val="24"/>
                <w:szCs w:val="24"/>
                <w:highlight w:val="none"/>
              </w:rPr>
            </w:pPr>
          </w:p>
        </w:tc>
      </w:tr>
      <w:tr w14:paraId="0D926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3C661A3B">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4F61A926">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3754B54B">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151F2A09">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58A836C2">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0D514981">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0CF77A44">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4ACD157B">
            <w:pPr>
              <w:autoSpaceDE w:val="0"/>
              <w:autoSpaceDN w:val="0"/>
              <w:adjustRightInd w:val="0"/>
              <w:spacing w:line="520" w:lineRule="exact"/>
              <w:jc w:val="center"/>
              <w:rPr>
                <w:rFonts w:hint="eastAsia"/>
                <w:color w:val="auto"/>
                <w:kern w:val="0"/>
                <w:sz w:val="24"/>
                <w:szCs w:val="24"/>
                <w:highlight w:val="none"/>
              </w:rPr>
            </w:pPr>
          </w:p>
        </w:tc>
      </w:tr>
      <w:tr w14:paraId="1C846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56FD3458">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79911BD9">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2C8554AB">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26EE7364">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14809D66">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11F91831">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21120CE3">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7D45E9B0">
            <w:pPr>
              <w:autoSpaceDE w:val="0"/>
              <w:autoSpaceDN w:val="0"/>
              <w:adjustRightInd w:val="0"/>
              <w:spacing w:line="520" w:lineRule="exact"/>
              <w:jc w:val="center"/>
              <w:rPr>
                <w:rFonts w:hint="eastAsia"/>
                <w:color w:val="auto"/>
                <w:kern w:val="0"/>
                <w:sz w:val="24"/>
                <w:szCs w:val="24"/>
                <w:highlight w:val="none"/>
              </w:rPr>
            </w:pPr>
          </w:p>
        </w:tc>
      </w:tr>
      <w:tr w14:paraId="489CD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5EB5E360">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4BFF2552">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49A93102">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4D06DD92">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7595890B">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63FA1B00">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6CD5CE7F">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1A612D36">
            <w:pPr>
              <w:autoSpaceDE w:val="0"/>
              <w:autoSpaceDN w:val="0"/>
              <w:adjustRightInd w:val="0"/>
              <w:spacing w:line="520" w:lineRule="exact"/>
              <w:jc w:val="center"/>
              <w:rPr>
                <w:rFonts w:hint="eastAsia"/>
                <w:color w:val="auto"/>
                <w:kern w:val="0"/>
                <w:sz w:val="24"/>
                <w:szCs w:val="24"/>
                <w:highlight w:val="none"/>
              </w:rPr>
            </w:pPr>
          </w:p>
        </w:tc>
      </w:tr>
      <w:tr w14:paraId="627E8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66C1C1AB">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2585122D">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6BC3D35B">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5DA124D8">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675FE810">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27227BF3">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2ACDA52E">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1126AB58">
            <w:pPr>
              <w:autoSpaceDE w:val="0"/>
              <w:autoSpaceDN w:val="0"/>
              <w:adjustRightInd w:val="0"/>
              <w:spacing w:line="520" w:lineRule="exact"/>
              <w:jc w:val="center"/>
              <w:rPr>
                <w:rFonts w:hint="eastAsia"/>
                <w:color w:val="auto"/>
                <w:kern w:val="0"/>
                <w:sz w:val="24"/>
                <w:szCs w:val="24"/>
                <w:highlight w:val="none"/>
              </w:rPr>
            </w:pPr>
          </w:p>
        </w:tc>
      </w:tr>
      <w:tr w14:paraId="70E5D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5F248A45">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30511AD2">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20F46E8A">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6AC3CC9F">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4DF6C71A">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3E7C62AC">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510AD741">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10405C84">
            <w:pPr>
              <w:autoSpaceDE w:val="0"/>
              <w:autoSpaceDN w:val="0"/>
              <w:adjustRightInd w:val="0"/>
              <w:spacing w:line="520" w:lineRule="exact"/>
              <w:jc w:val="center"/>
              <w:rPr>
                <w:rFonts w:hint="eastAsia"/>
                <w:color w:val="auto"/>
                <w:kern w:val="0"/>
                <w:sz w:val="24"/>
                <w:szCs w:val="24"/>
                <w:highlight w:val="none"/>
              </w:rPr>
            </w:pPr>
          </w:p>
        </w:tc>
      </w:tr>
      <w:tr w14:paraId="07762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6AC76246">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43E09324">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63EA299A">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3293D336">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174B97CB">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55741392">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20728E91">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4FF4A45F">
            <w:pPr>
              <w:autoSpaceDE w:val="0"/>
              <w:autoSpaceDN w:val="0"/>
              <w:adjustRightInd w:val="0"/>
              <w:spacing w:line="520" w:lineRule="exact"/>
              <w:jc w:val="center"/>
              <w:rPr>
                <w:rFonts w:hint="eastAsia"/>
                <w:color w:val="auto"/>
                <w:kern w:val="0"/>
                <w:sz w:val="24"/>
                <w:szCs w:val="24"/>
                <w:highlight w:val="none"/>
              </w:rPr>
            </w:pPr>
          </w:p>
        </w:tc>
      </w:tr>
      <w:tr w14:paraId="7D6A0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3AECACC8">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243BBB66">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26549ED1">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74AD305D">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072CB761">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15296B6F">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7E2D3F17">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37A48CC0">
            <w:pPr>
              <w:autoSpaceDE w:val="0"/>
              <w:autoSpaceDN w:val="0"/>
              <w:adjustRightInd w:val="0"/>
              <w:spacing w:line="520" w:lineRule="exact"/>
              <w:jc w:val="center"/>
              <w:rPr>
                <w:rFonts w:hint="eastAsia"/>
                <w:color w:val="auto"/>
                <w:kern w:val="0"/>
                <w:sz w:val="24"/>
                <w:szCs w:val="24"/>
                <w:highlight w:val="none"/>
              </w:rPr>
            </w:pPr>
          </w:p>
        </w:tc>
      </w:tr>
      <w:tr w14:paraId="0F847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3F508F93">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5677089B">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4251CA34">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197E3C09">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129232D6">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7514917D">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23EC57F9">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1901886C">
            <w:pPr>
              <w:autoSpaceDE w:val="0"/>
              <w:autoSpaceDN w:val="0"/>
              <w:adjustRightInd w:val="0"/>
              <w:spacing w:line="520" w:lineRule="exact"/>
              <w:jc w:val="center"/>
              <w:rPr>
                <w:rFonts w:hint="eastAsia"/>
                <w:color w:val="auto"/>
                <w:kern w:val="0"/>
                <w:sz w:val="24"/>
                <w:szCs w:val="24"/>
                <w:highlight w:val="none"/>
              </w:rPr>
            </w:pPr>
          </w:p>
        </w:tc>
      </w:tr>
      <w:tr w14:paraId="4F54B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3A0F8AE0">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1FD43848">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222BDB01">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3728DB48">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04AB2099">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6AAE3228">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71C61190">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3CBA396D">
            <w:pPr>
              <w:autoSpaceDE w:val="0"/>
              <w:autoSpaceDN w:val="0"/>
              <w:adjustRightInd w:val="0"/>
              <w:spacing w:line="520" w:lineRule="exact"/>
              <w:jc w:val="center"/>
              <w:rPr>
                <w:rFonts w:hint="eastAsia"/>
                <w:color w:val="auto"/>
                <w:kern w:val="0"/>
                <w:sz w:val="24"/>
                <w:szCs w:val="24"/>
                <w:highlight w:val="none"/>
              </w:rPr>
            </w:pPr>
          </w:p>
        </w:tc>
      </w:tr>
      <w:tr w14:paraId="0EED3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56FDD457">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2F6C0DED">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035C6FA0">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5BCE1A26">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04B47460">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7D550288">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63A24101">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7FF248F5">
            <w:pPr>
              <w:autoSpaceDE w:val="0"/>
              <w:autoSpaceDN w:val="0"/>
              <w:adjustRightInd w:val="0"/>
              <w:spacing w:line="520" w:lineRule="exact"/>
              <w:jc w:val="center"/>
              <w:rPr>
                <w:rFonts w:hint="eastAsia"/>
                <w:color w:val="auto"/>
                <w:kern w:val="0"/>
                <w:sz w:val="24"/>
                <w:szCs w:val="24"/>
                <w:highlight w:val="none"/>
              </w:rPr>
            </w:pPr>
          </w:p>
        </w:tc>
      </w:tr>
      <w:tr w14:paraId="52DB0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7843FF15">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665F3B42">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012089D6">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38C86460">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202FBFA4">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3AD9E1C8">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78A37E55">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0CE9C276">
            <w:pPr>
              <w:autoSpaceDE w:val="0"/>
              <w:autoSpaceDN w:val="0"/>
              <w:adjustRightInd w:val="0"/>
              <w:spacing w:line="520" w:lineRule="exact"/>
              <w:jc w:val="center"/>
              <w:rPr>
                <w:rFonts w:hint="eastAsia"/>
                <w:color w:val="auto"/>
                <w:kern w:val="0"/>
                <w:sz w:val="24"/>
                <w:szCs w:val="24"/>
                <w:highlight w:val="none"/>
              </w:rPr>
            </w:pPr>
          </w:p>
        </w:tc>
      </w:tr>
      <w:tr w14:paraId="7C024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8" w:type="dxa"/>
            <w:noWrap w:val="0"/>
            <w:vAlign w:val="center"/>
          </w:tcPr>
          <w:p w14:paraId="21591CA2">
            <w:pPr>
              <w:autoSpaceDE w:val="0"/>
              <w:autoSpaceDN w:val="0"/>
              <w:adjustRightInd w:val="0"/>
              <w:spacing w:line="520" w:lineRule="exact"/>
              <w:jc w:val="center"/>
              <w:rPr>
                <w:rFonts w:hint="eastAsia"/>
                <w:color w:val="auto"/>
                <w:kern w:val="0"/>
                <w:sz w:val="24"/>
                <w:szCs w:val="24"/>
                <w:highlight w:val="none"/>
              </w:rPr>
            </w:pPr>
          </w:p>
        </w:tc>
        <w:tc>
          <w:tcPr>
            <w:tcW w:w="830" w:type="dxa"/>
            <w:noWrap w:val="0"/>
            <w:vAlign w:val="center"/>
          </w:tcPr>
          <w:p w14:paraId="08741EDB">
            <w:pPr>
              <w:autoSpaceDE w:val="0"/>
              <w:autoSpaceDN w:val="0"/>
              <w:adjustRightInd w:val="0"/>
              <w:spacing w:line="520" w:lineRule="exact"/>
              <w:jc w:val="center"/>
              <w:rPr>
                <w:rFonts w:hint="eastAsia"/>
                <w:color w:val="auto"/>
                <w:kern w:val="0"/>
                <w:sz w:val="24"/>
                <w:szCs w:val="24"/>
                <w:highlight w:val="none"/>
              </w:rPr>
            </w:pPr>
          </w:p>
        </w:tc>
        <w:tc>
          <w:tcPr>
            <w:tcW w:w="791" w:type="dxa"/>
            <w:noWrap w:val="0"/>
            <w:vAlign w:val="center"/>
          </w:tcPr>
          <w:p w14:paraId="6D997A4E">
            <w:pPr>
              <w:autoSpaceDE w:val="0"/>
              <w:autoSpaceDN w:val="0"/>
              <w:adjustRightInd w:val="0"/>
              <w:spacing w:line="520" w:lineRule="exact"/>
              <w:jc w:val="center"/>
              <w:rPr>
                <w:rFonts w:hint="eastAsia"/>
                <w:color w:val="auto"/>
                <w:kern w:val="0"/>
                <w:sz w:val="24"/>
                <w:szCs w:val="24"/>
                <w:highlight w:val="none"/>
              </w:rPr>
            </w:pPr>
          </w:p>
        </w:tc>
        <w:tc>
          <w:tcPr>
            <w:tcW w:w="1780" w:type="dxa"/>
            <w:noWrap w:val="0"/>
            <w:vAlign w:val="center"/>
          </w:tcPr>
          <w:p w14:paraId="1D311C66">
            <w:pPr>
              <w:autoSpaceDE w:val="0"/>
              <w:autoSpaceDN w:val="0"/>
              <w:adjustRightInd w:val="0"/>
              <w:spacing w:line="520" w:lineRule="exact"/>
              <w:jc w:val="center"/>
              <w:rPr>
                <w:rFonts w:hint="eastAsia"/>
                <w:color w:val="auto"/>
                <w:kern w:val="0"/>
                <w:sz w:val="24"/>
                <w:szCs w:val="24"/>
                <w:highlight w:val="none"/>
              </w:rPr>
            </w:pPr>
          </w:p>
        </w:tc>
        <w:tc>
          <w:tcPr>
            <w:tcW w:w="1452" w:type="dxa"/>
            <w:noWrap w:val="0"/>
            <w:vAlign w:val="center"/>
          </w:tcPr>
          <w:p w14:paraId="7164EB7C">
            <w:pPr>
              <w:autoSpaceDE w:val="0"/>
              <w:autoSpaceDN w:val="0"/>
              <w:adjustRightInd w:val="0"/>
              <w:spacing w:line="520" w:lineRule="exact"/>
              <w:jc w:val="center"/>
              <w:rPr>
                <w:rFonts w:hint="eastAsia"/>
                <w:color w:val="auto"/>
                <w:kern w:val="0"/>
                <w:sz w:val="24"/>
                <w:szCs w:val="24"/>
                <w:highlight w:val="none"/>
              </w:rPr>
            </w:pPr>
          </w:p>
        </w:tc>
        <w:tc>
          <w:tcPr>
            <w:tcW w:w="1867" w:type="dxa"/>
            <w:noWrap w:val="0"/>
            <w:vAlign w:val="center"/>
          </w:tcPr>
          <w:p w14:paraId="2DDD88A3">
            <w:pPr>
              <w:autoSpaceDE w:val="0"/>
              <w:autoSpaceDN w:val="0"/>
              <w:adjustRightInd w:val="0"/>
              <w:spacing w:line="520" w:lineRule="exact"/>
              <w:jc w:val="center"/>
              <w:rPr>
                <w:rFonts w:hint="eastAsia"/>
                <w:color w:val="auto"/>
                <w:kern w:val="0"/>
                <w:sz w:val="24"/>
                <w:szCs w:val="24"/>
                <w:highlight w:val="none"/>
              </w:rPr>
            </w:pPr>
          </w:p>
        </w:tc>
        <w:tc>
          <w:tcPr>
            <w:tcW w:w="1582" w:type="dxa"/>
            <w:noWrap w:val="0"/>
            <w:vAlign w:val="center"/>
          </w:tcPr>
          <w:p w14:paraId="255209E6">
            <w:pPr>
              <w:autoSpaceDE w:val="0"/>
              <w:autoSpaceDN w:val="0"/>
              <w:adjustRightInd w:val="0"/>
              <w:spacing w:line="520" w:lineRule="exact"/>
              <w:jc w:val="center"/>
              <w:rPr>
                <w:rFonts w:hint="eastAsia"/>
                <w:color w:val="auto"/>
                <w:kern w:val="0"/>
                <w:sz w:val="24"/>
                <w:szCs w:val="24"/>
                <w:highlight w:val="none"/>
              </w:rPr>
            </w:pPr>
          </w:p>
        </w:tc>
        <w:tc>
          <w:tcPr>
            <w:tcW w:w="776" w:type="dxa"/>
            <w:noWrap w:val="0"/>
            <w:vAlign w:val="center"/>
          </w:tcPr>
          <w:p w14:paraId="60CA0B72">
            <w:pPr>
              <w:autoSpaceDE w:val="0"/>
              <w:autoSpaceDN w:val="0"/>
              <w:adjustRightInd w:val="0"/>
              <w:spacing w:line="520" w:lineRule="exact"/>
              <w:jc w:val="center"/>
              <w:rPr>
                <w:rFonts w:hint="eastAsia"/>
                <w:color w:val="auto"/>
                <w:kern w:val="0"/>
                <w:sz w:val="24"/>
                <w:szCs w:val="24"/>
                <w:highlight w:val="none"/>
              </w:rPr>
            </w:pPr>
          </w:p>
        </w:tc>
      </w:tr>
    </w:tbl>
    <w:p w14:paraId="7F7FF535">
      <w:pPr>
        <w:rPr>
          <w:color w:val="auto"/>
          <w:highlight w:val="none"/>
        </w:rPr>
      </w:pPr>
    </w:p>
    <w:p w14:paraId="45DFCA54">
      <w:pPr>
        <w:pStyle w:val="6"/>
        <w:spacing w:before="156" w:beforeLines="50" w:after="156" w:afterLines="50" w:line="360" w:lineRule="auto"/>
        <w:jc w:val="center"/>
        <w:rPr>
          <w:rFonts w:hint="eastAsia"/>
          <w:color w:val="auto"/>
          <w:kern w:val="0"/>
          <w:szCs w:val="24"/>
          <w:highlight w:val="none"/>
        </w:rPr>
      </w:pPr>
      <w:r>
        <w:rPr>
          <w:color w:val="auto"/>
          <w:kern w:val="0"/>
          <w:szCs w:val="24"/>
          <w:highlight w:val="none"/>
        </w:rPr>
        <w:br w:type="page"/>
      </w:r>
      <w:bookmarkStart w:id="325" w:name="_Toc61616151"/>
      <w:bookmarkStart w:id="326" w:name="_Toc290118965"/>
      <w:bookmarkStart w:id="327" w:name="_Toc18404987"/>
      <w:bookmarkStart w:id="328" w:name="_Toc72846716"/>
      <w:bookmarkStart w:id="329" w:name="_Toc72846867"/>
      <w:bookmarkStart w:id="330" w:name="_Toc322004617"/>
      <w:bookmarkStart w:id="331" w:name="_Toc322004762"/>
      <w:bookmarkStart w:id="332" w:name="_Toc320951801"/>
      <w:r>
        <w:rPr>
          <w:rFonts w:hint="eastAsia"/>
          <w:color w:val="auto"/>
          <w:kern w:val="0"/>
          <w:szCs w:val="24"/>
          <w:highlight w:val="none"/>
        </w:rPr>
        <w:t>（二）主要人员简历表</w:t>
      </w:r>
      <w:bookmarkEnd w:id="325"/>
      <w:bookmarkEnd w:id="326"/>
      <w:bookmarkEnd w:id="327"/>
      <w:bookmarkEnd w:id="328"/>
      <w:bookmarkEnd w:id="329"/>
      <w:bookmarkEnd w:id="330"/>
      <w:bookmarkEnd w:id="331"/>
      <w:bookmarkEnd w:id="332"/>
    </w:p>
    <w:p w14:paraId="769C7A5B">
      <w:pPr>
        <w:autoSpaceDE w:val="0"/>
        <w:autoSpaceDN w:val="0"/>
        <w:adjustRightInd w:val="0"/>
        <w:spacing w:line="520" w:lineRule="exact"/>
        <w:ind w:firstLine="435"/>
        <w:jc w:val="left"/>
        <w:rPr>
          <w:rFonts w:hint="eastAsia"/>
          <w:color w:val="auto"/>
          <w:kern w:val="0"/>
          <w:sz w:val="24"/>
          <w:szCs w:val="24"/>
          <w:highlight w:val="none"/>
        </w:rPr>
      </w:pPr>
      <w:r>
        <w:rPr>
          <w:rFonts w:hint="eastAsia"/>
          <w:color w:val="auto"/>
          <w:kern w:val="0"/>
          <w:sz w:val="24"/>
          <w:szCs w:val="24"/>
          <w:highlight w:val="none"/>
        </w:rPr>
        <w:t>“主要人员简历表”中的项目经理应附项目经理证、身份证、职称证、学历证，管理过的项目业绩须附合同协议书复印件；技术负责人应附身份证、职称证、学历证，管理过的项目业绩须附证明其所任技术职务的企业文件或用户证明；其他主要人员应附职称证（执业证或上岗证书）。</w:t>
      </w:r>
    </w:p>
    <w:p w14:paraId="3A833299">
      <w:pPr>
        <w:rPr>
          <w:rFonts w:hint="eastAsia"/>
          <w:color w:val="auto"/>
          <w:kern w:val="0"/>
          <w:sz w:val="24"/>
          <w:szCs w:val="24"/>
          <w:highlight w:val="none"/>
        </w:rPr>
      </w:pPr>
    </w:p>
    <w:tbl>
      <w:tblPr>
        <w:tblStyle w:val="21"/>
        <w:tblW w:w="9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291"/>
        <w:gridCol w:w="1038"/>
        <w:gridCol w:w="1246"/>
        <w:gridCol w:w="1246"/>
        <w:gridCol w:w="621"/>
        <w:gridCol w:w="1692"/>
        <w:gridCol w:w="177"/>
        <w:gridCol w:w="2231"/>
      </w:tblGrid>
      <w:tr w14:paraId="5D289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noWrap w:val="0"/>
            <w:vAlign w:val="center"/>
          </w:tcPr>
          <w:p w14:paraId="7F6CEF80">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姓名</w:t>
            </w:r>
          </w:p>
        </w:tc>
        <w:tc>
          <w:tcPr>
            <w:tcW w:w="1329" w:type="dxa"/>
            <w:gridSpan w:val="2"/>
            <w:noWrap w:val="0"/>
            <w:vAlign w:val="center"/>
          </w:tcPr>
          <w:p w14:paraId="0139AE46">
            <w:pPr>
              <w:autoSpaceDE w:val="0"/>
              <w:autoSpaceDN w:val="0"/>
              <w:adjustRightInd w:val="0"/>
              <w:spacing w:line="520" w:lineRule="exact"/>
              <w:jc w:val="center"/>
              <w:rPr>
                <w:rFonts w:hint="eastAsia"/>
                <w:color w:val="auto"/>
                <w:kern w:val="0"/>
                <w:sz w:val="24"/>
                <w:szCs w:val="24"/>
                <w:highlight w:val="none"/>
              </w:rPr>
            </w:pPr>
          </w:p>
        </w:tc>
        <w:tc>
          <w:tcPr>
            <w:tcW w:w="1246" w:type="dxa"/>
            <w:noWrap w:val="0"/>
            <w:vAlign w:val="center"/>
          </w:tcPr>
          <w:p w14:paraId="0CEB1A17">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年龄</w:t>
            </w:r>
          </w:p>
        </w:tc>
        <w:tc>
          <w:tcPr>
            <w:tcW w:w="1246" w:type="dxa"/>
            <w:noWrap w:val="0"/>
            <w:vAlign w:val="center"/>
          </w:tcPr>
          <w:p w14:paraId="1E050B21">
            <w:pPr>
              <w:autoSpaceDE w:val="0"/>
              <w:autoSpaceDN w:val="0"/>
              <w:adjustRightInd w:val="0"/>
              <w:spacing w:line="520" w:lineRule="exact"/>
              <w:jc w:val="center"/>
              <w:rPr>
                <w:rFonts w:hint="eastAsia"/>
                <w:color w:val="auto"/>
                <w:kern w:val="0"/>
                <w:sz w:val="24"/>
                <w:szCs w:val="24"/>
                <w:highlight w:val="none"/>
              </w:rPr>
            </w:pPr>
          </w:p>
        </w:tc>
        <w:tc>
          <w:tcPr>
            <w:tcW w:w="2490" w:type="dxa"/>
            <w:gridSpan w:val="3"/>
            <w:noWrap w:val="0"/>
            <w:vAlign w:val="center"/>
          </w:tcPr>
          <w:p w14:paraId="446361B1">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学历</w:t>
            </w:r>
          </w:p>
        </w:tc>
        <w:tc>
          <w:tcPr>
            <w:tcW w:w="2231" w:type="dxa"/>
            <w:noWrap w:val="0"/>
            <w:vAlign w:val="center"/>
          </w:tcPr>
          <w:p w14:paraId="132929E0">
            <w:pPr>
              <w:autoSpaceDE w:val="0"/>
              <w:autoSpaceDN w:val="0"/>
              <w:adjustRightInd w:val="0"/>
              <w:spacing w:line="520" w:lineRule="exact"/>
              <w:jc w:val="center"/>
              <w:rPr>
                <w:rFonts w:hint="eastAsia"/>
                <w:color w:val="auto"/>
                <w:kern w:val="0"/>
                <w:sz w:val="24"/>
                <w:szCs w:val="24"/>
                <w:highlight w:val="none"/>
              </w:rPr>
            </w:pPr>
          </w:p>
        </w:tc>
      </w:tr>
      <w:tr w14:paraId="2E69F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noWrap w:val="0"/>
            <w:vAlign w:val="center"/>
          </w:tcPr>
          <w:p w14:paraId="76C80645">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职称</w:t>
            </w:r>
          </w:p>
        </w:tc>
        <w:tc>
          <w:tcPr>
            <w:tcW w:w="1329" w:type="dxa"/>
            <w:gridSpan w:val="2"/>
            <w:noWrap w:val="0"/>
            <w:vAlign w:val="center"/>
          </w:tcPr>
          <w:p w14:paraId="4620266E">
            <w:pPr>
              <w:autoSpaceDE w:val="0"/>
              <w:autoSpaceDN w:val="0"/>
              <w:adjustRightInd w:val="0"/>
              <w:spacing w:line="520" w:lineRule="exact"/>
              <w:jc w:val="center"/>
              <w:rPr>
                <w:rFonts w:hint="eastAsia"/>
                <w:color w:val="auto"/>
                <w:kern w:val="0"/>
                <w:sz w:val="24"/>
                <w:szCs w:val="24"/>
                <w:highlight w:val="none"/>
              </w:rPr>
            </w:pPr>
          </w:p>
        </w:tc>
        <w:tc>
          <w:tcPr>
            <w:tcW w:w="1246" w:type="dxa"/>
            <w:noWrap w:val="0"/>
            <w:vAlign w:val="center"/>
          </w:tcPr>
          <w:p w14:paraId="6DECAAF8">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职务</w:t>
            </w:r>
          </w:p>
        </w:tc>
        <w:tc>
          <w:tcPr>
            <w:tcW w:w="1246" w:type="dxa"/>
            <w:noWrap w:val="0"/>
            <w:vAlign w:val="center"/>
          </w:tcPr>
          <w:p w14:paraId="20F5EBD1">
            <w:pPr>
              <w:autoSpaceDE w:val="0"/>
              <w:autoSpaceDN w:val="0"/>
              <w:adjustRightInd w:val="0"/>
              <w:spacing w:line="520" w:lineRule="exact"/>
              <w:jc w:val="center"/>
              <w:rPr>
                <w:rFonts w:hint="eastAsia"/>
                <w:color w:val="auto"/>
                <w:kern w:val="0"/>
                <w:sz w:val="24"/>
                <w:szCs w:val="24"/>
                <w:highlight w:val="none"/>
              </w:rPr>
            </w:pPr>
          </w:p>
        </w:tc>
        <w:tc>
          <w:tcPr>
            <w:tcW w:w="2490" w:type="dxa"/>
            <w:gridSpan w:val="3"/>
            <w:noWrap w:val="0"/>
            <w:vAlign w:val="center"/>
          </w:tcPr>
          <w:p w14:paraId="2E805857">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拟在本合同任职</w:t>
            </w:r>
          </w:p>
        </w:tc>
        <w:tc>
          <w:tcPr>
            <w:tcW w:w="2231" w:type="dxa"/>
            <w:noWrap w:val="0"/>
            <w:vAlign w:val="center"/>
          </w:tcPr>
          <w:p w14:paraId="5C3D52D9">
            <w:pPr>
              <w:autoSpaceDE w:val="0"/>
              <w:autoSpaceDN w:val="0"/>
              <w:adjustRightInd w:val="0"/>
              <w:spacing w:line="520" w:lineRule="exact"/>
              <w:jc w:val="center"/>
              <w:rPr>
                <w:rFonts w:hint="eastAsia"/>
                <w:color w:val="auto"/>
                <w:kern w:val="0"/>
                <w:sz w:val="24"/>
                <w:szCs w:val="24"/>
                <w:highlight w:val="none"/>
              </w:rPr>
            </w:pPr>
          </w:p>
        </w:tc>
      </w:tr>
      <w:tr w14:paraId="632C4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4" w:type="dxa"/>
            <w:noWrap w:val="0"/>
            <w:vAlign w:val="center"/>
          </w:tcPr>
          <w:p w14:paraId="3456A53F">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毕业学校</w:t>
            </w:r>
          </w:p>
        </w:tc>
        <w:tc>
          <w:tcPr>
            <w:tcW w:w="8542" w:type="dxa"/>
            <w:gridSpan w:val="8"/>
            <w:noWrap w:val="0"/>
            <w:vAlign w:val="center"/>
          </w:tcPr>
          <w:p w14:paraId="6D3C5884">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年毕业于            学校            专业</w:t>
            </w:r>
          </w:p>
        </w:tc>
      </w:tr>
      <w:tr w14:paraId="3A362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26" w:type="dxa"/>
            <w:gridSpan w:val="9"/>
            <w:noWrap w:val="0"/>
            <w:vAlign w:val="center"/>
          </w:tcPr>
          <w:p w14:paraId="415D0E69">
            <w:pPr>
              <w:autoSpaceDE w:val="0"/>
              <w:autoSpaceDN w:val="0"/>
              <w:adjustRightInd w:val="0"/>
              <w:spacing w:line="520" w:lineRule="exact"/>
              <w:rPr>
                <w:rFonts w:hint="eastAsia"/>
                <w:color w:val="auto"/>
                <w:kern w:val="0"/>
                <w:sz w:val="24"/>
                <w:szCs w:val="24"/>
                <w:highlight w:val="none"/>
              </w:rPr>
            </w:pPr>
            <w:r>
              <w:rPr>
                <w:rFonts w:hint="eastAsia"/>
                <w:color w:val="auto"/>
                <w:kern w:val="0"/>
                <w:sz w:val="24"/>
                <w:szCs w:val="24"/>
                <w:highlight w:val="none"/>
              </w:rPr>
              <w:t>主要工作经历</w:t>
            </w:r>
          </w:p>
        </w:tc>
      </w:tr>
      <w:tr w14:paraId="0C128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1EBBFE18">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时间</w:t>
            </w:r>
          </w:p>
        </w:tc>
        <w:tc>
          <w:tcPr>
            <w:tcW w:w="4151" w:type="dxa"/>
            <w:gridSpan w:val="4"/>
            <w:noWrap w:val="0"/>
            <w:vAlign w:val="center"/>
          </w:tcPr>
          <w:p w14:paraId="6CC04F93">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参加过的类似项目</w:t>
            </w:r>
          </w:p>
        </w:tc>
        <w:tc>
          <w:tcPr>
            <w:tcW w:w="1692" w:type="dxa"/>
            <w:noWrap w:val="0"/>
            <w:vAlign w:val="center"/>
          </w:tcPr>
          <w:p w14:paraId="0AA82F4E">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担任职务</w:t>
            </w:r>
          </w:p>
        </w:tc>
        <w:tc>
          <w:tcPr>
            <w:tcW w:w="2408" w:type="dxa"/>
            <w:gridSpan w:val="2"/>
            <w:noWrap w:val="0"/>
            <w:vAlign w:val="center"/>
          </w:tcPr>
          <w:p w14:paraId="297D6944">
            <w:pPr>
              <w:autoSpaceDE w:val="0"/>
              <w:autoSpaceDN w:val="0"/>
              <w:adjustRightInd w:val="0"/>
              <w:spacing w:line="520" w:lineRule="exact"/>
              <w:jc w:val="center"/>
              <w:rPr>
                <w:rFonts w:hint="eastAsia"/>
                <w:color w:val="auto"/>
                <w:kern w:val="0"/>
                <w:sz w:val="24"/>
                <w:szCs w:val="24"/>
                <w:highlight w:val="none"/>
              </w:rPr>
            </w:pPr>
            <w:r>
              <w:rPr>
                <w:rFonts w:hint="eastAsia"/>
                <w:color w:val="auto"/>
                <w:kern w:val="0"/>
                <w:sz w:val="24"/>
                <w:szCs w:val="24"/>
                <w:highlight w:val="none"/>
              </w:rPr>
              <w:t>发包人及联系电话</w:t>
            </w:r>
          </w:p>
        </w:tc>
      </w:tr>
      <w:tr w14:paraId="6A5B1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7E9CFB09">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6B043AC0">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38AD1EEF">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08AE4D12">
            <w:pPr>
              <w:autoSpaceDE w:val="0"/>
              <w:autoSpaceDN w:val="0"/>
              <w:adjustRightInd w:val="0"/>
              <w:spacing w:line="520" w:lineRule="exact"/>
              <w:jc w:val="center"/>
              <w:rPr>
                <w:rFonts w:hint="eastAsia"/>
                <w:color w:val="auto"/>
                <w:kern w:val="0"/>
                <w:sz w:val="24"/>
                <w:szCs w:val="24"/>
                <w:highlight w:val="none"/>
              </w:rPr>
            </w:pPr>
          </w:p>
        </w:tc>
      </w:tr>
      <w:tr w14:paraId="6B81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59B85048">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41923BF2">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6489DE7C">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35B6BB4E">
            <w:pPr>
              <w:autoSpaceDE w:val="0"/>
              <w:autoSpaceDN w:val="0"/>
              <w:adjustRightInd w:val="0"/>
              <w:spacing w:line="520" w:lineRule="exact"/>
              <w:jc w:val="center"/>
              <w:rPr>
                <w:rFonts w:hint="eastAsia"/>
                <w:color w:val="auto"/>
                <w:kern w:val="0"/>
                <w:sz w:val="24"/>
                <w:szCs w:val="24"/>
                <w:highlight w:val="none"/>
              </w:rPr>
            </w:pPr>
          </w:p>
        </w:tc>
      </w:tr>
      <w:tr w14:paraId="76C78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0E8B4F08">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5F5852F0">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2B4E51BD">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6D78C957">
            <w:pPr>
              <w:autoSpaceDE w:val="0"/>
              <w:autoSpaceDN w:val="0"/>
              <w:adjustRightInd w:val="0"/>
              <w:spacing w:line="520" w:lineRule="exact"/>
              <w:jc w:val="center"/>
              <w:rPr>
                <w:rFonts w:hint="eastAsia"/>
                <w:color w:val="auto"/>
                <w:kern w:val="0"/>
                <w:sz w:val="24"/>
                <w:szCs w:val="24"/>
                <w:highlight w:val="none"/>
              </w:rPr>
            </w:pPr>
          </w:p>
        </w:tc>
      </w:tr>
      <w:tr w14:paraId="1D353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618322F6">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6296DC5B">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628D68A1">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4215B227">
            <w:pPr>
              <w:autoSpaceDE w:val="0"/>
              <w:autoSpaceDN w:val="0"/>
              <w:adjustRightInd w:val="0"/>
              <w:spacing w:line="520" w:lineRule="exact"/>
              <w:jc w:val="center"/>
              <w:rPr>
                <w:rFonts w:hint="eastAsia"/>
                <w:color w:val="auto"/>
                <w:kern w:val="0"/>
                <w:sz w:val="24"/>
                <w:szCs w:val="24"/>
                <w:highlight w:val="none"/>
              </w:rPr>
            </w:pPr>
          </w:p>
        </w:tc>
      </w:tr>
      <w:tr w14:paraId="04846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4F4093C4">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0E9F3CBE">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38F78F9D">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447759AC">
            <w:pPr>
              <w:autoSpaceDE w:val="0"/>
              <w:autoSpaceDN w:val="0"/>
              <w:adjustRightInd w:val="0"/>
              <w:spacing w:line="520" w:lineRule="exact"/>
              <w:jc w:val="center"/>
              <w:rPr>
                <w:rFonts w:hint="eastAsia"/>
                <w:color w:val="auto"/>
                <w:kern w:val="0"/>
                <w:sz w:val="24"/>
                <w:szCs w:val="24"/>
                <w:highlight w:val="none"/>
              </w:rPr>
            </w:pPr>
          </w:p>
        </w:tc>
      </w:tr>
      <w:tr w14:paraId="5C76F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48AA1680">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11149201">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6C55E652">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67AF5D1D">
            <w:pPr>
              <w:autoSpaceDE w:val="0"/>
              <w:autoSpaceDN w:val="0"/>
              <w:adjustRightInd w:val="0"/>
              <w:spacing w:line="520" w:lineRule="exact"/>
              <w:jc w:val="center"/>
              <w:rPr>
                <w:rFonts w:hint="eastAsia"/>
                <w:color w:val="auto"/>
                <w:kern w:val="0"/>
                <w:sz w:val="24"/>
                <w:szCs w:val="24"/>
                <w:highlight w:val="none"/>
              </w:rPr>
            </w:pPr>
          </w:p>
        </w:tc>
      </w:tr>
      <w:tr w14:paraId="21155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567313DB">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4394016E">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78530AB2">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3B32E49E">
            <w:pPr>
              <w:autoSpaceDE w:val="0"/>
              <w:autoSpaceDN w:val="0"/>
              <w:adjustRightInd w:val="0"/>
              <w:spacing w:line="520" w:lineRule="exact"/>
              <w:jc w:val="center"/>
              <w:rPr>
                <w:rFonts w:hint="eastAsia"/>
                <w:color w:val="auto"/>
                <w:kern w:val="0"/>
                <w:sz w:val="24"/>
                <w:szCs w:val="24"/>
                <w:highlight w:val="none"/>
              </w:rPr>
            </w:pPr>
          </w:p>
        </w:tc>
      </w:tr>
      <w:tr w14:paraId="50EA3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24F3BCC9">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721F9484">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746D757C">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78628A46">
            <w:pPr>
              <w:autoSpaceDE w:val="0"/>
              <w:autoSpaceDN w:val="0"/>
              <w:adjustRightInd w:val="0"/>
              <w:spacing w:line="520" w:lineRule="exact"/>
              <w:jc w:val="center"/>
              <w:rPr>
                <w:rFonts w:hint="eastAsia"/>
                <w:color w:val="auto"/>
                <w:kern w:val="0"/>
                <w:sz w:val="24"/>
                <w:szCs w:val="24"/>
                <w:highlight w:val="none"/>
              </w:rPr>
            </w:pPr>
          </w:p>
        </w:tc>
      </w:tr>
      <w:tr w14:paraId="31663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533387F3">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316C3021">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36D0C69A">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1947F559">
            <w:pPr>
              <w:autoSpaceDE w:val="0"/>
              <w:autoSpaceDN w:val="0"/>
              <w:adjustRightInd w:val="0"/>
              <w:spacing w:line="520" w:lineRule="exact"/>
              <w:jc w:val="center"/>
              <w:rPr>
                <w:rFonts w:hint="eastAsia"/>
                <w:color w:val="auto"/>
                <w:kern w:val="0"/>
                <w:sz w:val="24"/>
                <w:szCs w:val="24"/>
                <w:highlight w:val="none"/>
              </w:rPr>
            </w:pPr>
          </w:p>
        </w:tc>
      </w:tr>
      <w:tr w14:paraId="2E9E2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45EBDCD4">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1AB1256F">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6828F44F">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28706A11">
            <w:pPr>
              <w:autoSpaceDE w:val="0"/>
              <w:autoSpaceDN w:val="0"/>
              <w:adjustRightInd w:val="0"/>
              <w:spacing w:line="520" w:lineRule="exact"/>
              <w:jc w:val="center"/>
              <w:rPr>
                <w:rFonts w:hint="eastAsia"/>
                <w:color w:val="auto"/>
                <w:kern w:val="0"/>
                <w:sz w:val="24"/>
                <w:szCs w:val="24"/>
                <w:highlight w:val="none"/>
              </w:rPr>
            </w:pPr>
          </w:p>
        </w:tc>
      </w:tr>
      <w:tr w14:paraId="36040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5" w:type="dxa"/>
            <w:gridSpan w:val="2"/>
            <w:noWrap w:val="0"/>
            <w:vAlign w:val="center"/>
          </w:tcPr>
          <w:p w14:paraId="5955AD15">
            <w:pPr>
              <w:autoSpaceDE w:val="0"/>
              <w:autoSpaceDN w:val="0"/>
              <w:adjustRightInd w:val="0"/>
              <w:spacing w:line="520" w:lineRule="exact"/>
              <w:jc w:val="center"/>
              <w:rPr>
                <w:rFonts w:hint="eastAsia"/>
                <w:color w:val="auto"/>
                <w:kern w:val="0"/>
                <w:sz w:val="24"/>
                <w:szCs w:val="24"/>
                <w:highlight w:val="none"/>
              </w:rPr>
            </w:pPr>
          </w:p>
        </w:tc>
        <w:tc>
          <w:tcPr>
            <w:tcW w:w="4151" w:type="dxa"/>
            <w:gridSpan w:val="4"/>
            <w:noWrap w:val="0"/>
            <w:vAlign w:val="center"/>
          </w:tcPr>
          <w:p w14:paraId="4BD4C314">
            <w:pPr>
              <w:autoSpaceDE w:val="0"/>
              <w:autoSpaceDN w:val="0"/>
              <w:adjustRightInd w:val="0"/>
              <w:spacing w:line="520" w:lineRule="exact"/>
              <w:jc w:val="center"/>
              <w:rPr>
                <w:rFonts w:hint="eastAsia"/>
                <w:color w:val="auto"/>
                <w:kern w:val="0"/>
                <w:sz w:val="24"/>
                <w:szCs w:val="24"/>
                <w:highlight w:val="none"/>
              </w:rPr>
            </w:pPr>
          </w:p>
        </w:tc>
        <w:tc>
          <w:tcPr>
            <w:tcW w:w="1692" w:type="dxa"/>
            <w:noWrap w:val="0"/>
            <w:vAlign w:val="center"/>
          </w:tcPr>
          <w:p w14:paraId="36A9A387">
            <w:pPr>
              <w:autoSpaceDE w:val="0"/>
              <w:autoSpaceDN w:val="0"/>
              <w:adjustRightInd w:val="0"/>
              <w:spacing w:line="520" w:lineRule="exact"/>
              <w:jc w:val="center"/>
              <w:rPr>
                <w:rFonts w:hint="eastAsia"/>
                <w:color w:val="auto"/>
                <w:kern w:val="0"/>
                <w:sz w:val="24"/>
                <w:szCs w:val="24"/>
                <w:highlight w:val="none"/>
              </w:rPr>
            </w:pPr>
          </w:p>
        </w:tc>
        <w:tc>
          <w:tcPr>
            <w:tcW w:w="2408" w:type="dxa"/>
            <w:gridSpan w:val="2"/>
            <w:noWrap w:val="0"/>
            <w:vAlign w:val="center"/>
          </w:tcPr>
          <w:p w14:paraId="29E3FA18">
            <w:pPr>
              <w:autoSpaceDE w:val="0"/>
              <w:autoSpaceDN w:val="0"/>
              <w:adjustRightInd w:val="0"/>
              <w:spacing w:line="520" w:lineRule="exact"/>
              <w:jc w:val="center"/>
              <w:rPr>
                <w:rFonts w:hint="eastAsia"/>
                <w:color w:val="auto"/>
                <w:kern w:val="0"/>
                <w:sz w:val="24"/>
                <w:szCs w:val="24"/>
                <w:highlight w:val="none"/>
              </w:rPr>
            </w:pPr>
          </w:p>
        </w:tc>
      </w:tr>
    </w:tbl>
    <w:p w14:paraId="5EC15EB9">
      <w:pPr>
        <w:autoSpaceDE w:val="0"/>
        <w:autoSpaceDN w:val="0"/>
        <w:adjustRightInd w:val="0"/>
        <w:spacing w:line="480" w:lineRule="exact"/>
        <w:ind w:firstLine="1320" w:firstLineChars="550"/>
        <w:jc w:val="left"/>
        <w:rPr>
          <w:color w:val="auto"/>
          <w:kern w:val="0"/>
          <w:sz w:val="24"/>
          <w:szCs w:val="24"/>
          <w:highlight w:val="none"/>
        </w:rPr>
      </w:pPr>
    </w:p>
    <w:p w14:paraId="15CF7421">
      <w:pPr>
        <w:pStyle w:val="5"/>
        <w:spacing w:after="312" w:afterLines="100"/>
        <w:jc w:val="center"/>
        <w:rPr>
          <w:rFonts w:hint="eastAsia" w:ascii="宋体" w:hAnsi="宋体"/>
          <w:color w:val="auto"/>
          <w:kern w:val="0"/>
          <w:sz w:val="32"/>
          <w:szCs w:val="28"/>
          <w:highlight w:val="none"/>
        </w:rPr>
      </w:pPr>
      <w:r>
        <w:rPr>
          <w:color w:val="auto"/>
          <w:kern w:val="0"/>
          <w:sz w:val="24"/>
          <w:szCs w:val="24"/>
          <w:highlight w:val="none"/>
        </w:rPr>
        <w:br w:type="page"/>
      </w:r>
      <w:bookmarkStart w:id="333" w:name="_Toc191374664"/>
      <w:bookmarkStart w:id="334" w:name="_Toc72846717"/>
      <w:bookmarkStart w:id="335" w:name="_Toc61616152"/>
      <w:bookmarkStart w:id="336" w:name="_Toc18404988"/>
      <w:bookmarkStart w:id="337" w:name="_Toc72846868"/>
      <w:r>
        <w:rPr>
          <w:rFonts w:hint="eastAsia" w:ascii="宋体" w:hAnsi="宋体"/>
          <w:color w:val="auto"/>
          <w:kern w:val="0"/>
          <w:sz w:val="32"/>
          <w:szCs w:val="28"/>
          <w:highlight w:val="none"/>
        </w:rPr>
        <w:t>七、资格及能力证明资料</w:t>
      </w:r>
      <w:bookmarkEnd w:id="333"/>
      <w:bookmarkEnd w:id="334"/>
      <w:bookmarkEnd w:id="335"/>
      <w:bookmarkEnd w:id="336"/>
      <w:bookmarkEnd w:id="337"/>
    </w:p>
    <w:p w14:paraId="217C18CD">
      <w:pPr>
        <w:spacing w:line="360" w:lineRule="auto"/>
        <w:ind w:firstLine="480" w:firstLineChars="200"/>
        <w:jc w:val="left"/>
        <w:rPr>
          <w:color w:val="auto"/>
          <w:sz w:val="24"/>
          <w:szCs w:val="24"/>
          <w:highlight w:val="none"/>
        </w:rPr>
      </w:pPr>
      <w:bookmarkStart w:id="338" w:name="_Toc322004619"/>
      <w:bookmarkStart w:id="339" w:name="_Toc191374665"/>
      <w:bookmarkStart w:id="340" w:name="_Toc290118967"/>
      <w:bookmarkStart w:id="341" w:name="_Toc322004764"/>
      <w:bookmarkStart w:id="342" w:name="_Toc320951803"/>
      <w:r>
        <w:rPr>
          <w:rFonts w:hint="eastAsia"/>
          <w:color w:val="auto"/>
          <w:sz w:val="24"/>
          <w:szCs w:val="24"/>
          <w:highlight w:val="none"/>
        </w:rPr>
        <w:t>资格审查资料：投标人必须在投标文件中提供以下资料复印件以证明其满足投标人资格要求：</w:t>
      </w:r>
    </w:p>
    <w:p w14:paraId="699739E7">
      <w:pPr>
        <w:pStyle w:val="6"/>
        <w:jc w:val="center"/>
        <w:rPr>
          <w:rFonts w:hint="eastAsia"/>
          <w:color w:val="auto"/>
          <w:kern w:val="0"/>
          <w:szCs w:val="24"/>
          <w:highlight w:val="none"/>
        </w:rPr>
      </w:pPr>
      <w:bookmarkStart w:id="343" w:name="_Toc72846869"/>
      <w:bookmarkStart w:id="344" w:name="_Toc18404989"/>
      <w:bookmarkStart w:id="345" w:name="_Toc72846718"/>
      <w:bookmarkStart w:id="346" w:name="_Toc61616153"/>
      <w:r>
        <w:rPr>
          <w:rFonts w:hint="eastAsia"/>
          <w:color w:val="auto"/>
          <w:kern w:val="0"/>
          <w:szCs w:val="24"/>
          <w:highlight w:val="none"/>
        </w:rPr>
        <w:t>（一）投标人基本情况表</w:t>
      </w:r>
      <w:bookmarkEnd w:id="338"/>
      <w:bookmarkEnd w:id="339"/>
      <w:bookmarkEnd w:id="340"/>
      <w:bookmarkEnd w:id="341"/>
      <w:bookmarkEnd w:id="342"/>
      <w:bookmarkEnd w:id="343"/>
      <w:bookmarkEnd w:id="344"/>
      <w:bookmarkEnd w:id="345"/>
      <w:bookmarkEnd w:id="346"/>
    </w:p>
    <w:tbl>
      <w:tblPr>
        <w:tblStyle w:val="21"/>
        <w:tblpPr w:leftFromText="180" w:rightFromText="180" w:vertAnchor="text" w:horzAnchor="page" w:tblpX="1315" w:tblpY="13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5"/>
        <w:gridCol w:w="1160"/>
        <w:gridCol w:w="1038"/>
        <w:gridCol w:w="932"/>
        <w:gridCol w:w="435"/>
        <w:gridCol w:w="86"/>
        <w:gridCol w:w="1659"/>
        <w:gridCol w:w="416"/>
        <w:gridCol w:w="1081"/>
        <w:gridCol w:w="1148"/>
      </w:tblGrid>
      <w:tr w14:paraId="2869B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0DE533D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投标人名称</w:t>
            </w:r>
          </w:p>
        </w:tc>
        <w:tc>
          <w:tcPr>
            <w:tcW w:w="7955" w:type="dxa"/>
            <w:gridSpan w:val="9"/>
            <w:noWrap w:val="0"/>
            <w:vAlign w:val="center"/>
          </w:tcPr>
          <w:p w14:paraId="681D4DA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6F616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7E8393E3">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注册地址</w:t>
            </w:r>
          </w:p>
        </w:tc>
        <w:tc>
          <w:tcPr>
            <w:tcW w:w="3651" w:type="dxa"/>
            <w:gridSpan w:val="5"/>
            <w:noWrap w:val="0"/>
            <w:vAlign w:val="center"/>
          </w:tcPr>
          <w:p w14:paraId="0FD9732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1659" w:type="dxa"/>
            <w:noWrap w:val="0"/>
            <w:vAlign w:val="center"/>
          </w:tcPr>
          <w:p w14:paraId="325FE7D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邮政编码</w:t>
            </w:r>
          </w:p>
        </w:tc>
        <w:tc>
          <w:tcPr>
            <w:tcW w:w="2645" w:type="dxa"/>
            <w:gridSpan w:val="3"/>
            <w:noWrap w:val="0"/>
            <w:vAlign w:val="center"/>
          </w:tcPr>
          <w:p w14:paraId="274F066C">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2EB44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41D65E2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联系方式</w:t>
            </w:r>
          </w:p>
        </w:tc>
        <w:tc>
          <w:tcPr>
            <w:tcW w:w="1160" w:type="dxa"/>
            <w:noWrap w:val="0"/>
            <w:vAlign w:val="center"/>
          </w:tcPr>
          <w:p w14:paraId="433EB720">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联系人</w:t>
            </w:r>
          </w:p>
        </w:tc>
        <w:tc>
          <w:tcPr>
            <w:tcW w:w="2491" w:type="dxa"/>
            <w:gridSpan w:val="4"/>
            <w:noWrap w:val="0"/>
            <w:vAlign w:val="center"/>
          </w:tcPr>
          <w:p w14:paraId="02357D9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1659" w:type="dxa"/>
            <w:noWrap w:val="0"/>
            <w:vAlign w:val="center"/>
          </w:tcPr>
          <w:p w14:paraId="2E54E3D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电话</w:t>
            </w:r>
          </w:p>
        </w:tc>
        <w:tc>
          <w:tcPr>
            <w:tcW w:w="2645" w:type="dxa"/>
            <w:gridSpan w:val="3"/>
            <w:noWrap w:val="0"/>
            <w:vAlign w:val="center"/>
          </w:tcPr>
          <w:p w14:paraId="3850B999">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3B8BE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1705641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1160" w:type="dxa"/>
            <w:noWrap w:val="0"/>
            <w:vAlign w:val="center"/>
          </w:tcPr>
          <w:p w14:paraId="01319C9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传真</w:t>
            </w:r>
          </w:p>
        </w:tc>
        <w:tc>
          <w:tcPr>
            <w:tcW w:w="2491" w:type="dxa"/>
            <w:gridSpan w:val="4"/>
            <w:noWrap w:val="0"/>
            <w:vAlign w:val="center"/>
          </w:tcPr>
          <w:p w14:paraId="64020139">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1659" w:type="dxa"/>
            <w:noWrap w:val="0"/>
            <w:vAlign w:val="center"/>
          </w:tcPr>
          <w:p w14:paraId="49E3C45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网址</w:t>
            </w:r>
          </w:p>
        </w:tc>
        <w:tc>
          <w:tcPr>
            <w:tcW w:w="2645" w:type="dxa"/>
            <w:gridSpan w:val="3"/>
            <w:noWrap w:val="0"/>
            <w:vAlign w:val="center"/>
          </w:tcPr>
          <w:p w14:paraId="03421F6E">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23B27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22C9A09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组织结构</w:t>
            </w:r>
          </w:p>
        </w:tc>
        <w:tc>
          <w:tcPr>
            <w:tcW w:w="7955" w:type="dxa"/>
            <w:gridSpan w:val="9"/>
            <w:noWrap w:val="0"/>
            <w:vAlign w:val="center"/>
          </w:tcPr>
          <w:p w14:paraId="39869A6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6BA7F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7FABD4CE">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法定代表人</w:t>
            </w:r>
          </w:p>
        </w:tc>
        <w:tc>
          <w:tcPr>
            <w:tcW w:w="1160" w:type="dxa"/>
            <w:noWrap w:val="0"/>
            <w:vAlign w:val="center"/>
          </w:tcPr>
          <w:p w14:paraId="61234F7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姓名</w:t>
            </w:r>
          </w:p>
        </w:tc>
        <w:tc>
          <w:tcPr>
            <w:tcW w:w="1038" w:type="dxa"/>
            <w:noWrap w:val="0"/>
            <w:vAlign w:val="center"/>
          </w:tcPr>
          <w:p w14:paraId="6D5E7A73">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1367" w:type="dxa"/>
            <w:gridSpan w:val="2"/>
            <w:noWrap w:val="0"/>
            <w:vAlign w:val="center"/>
          </w:tcPr>
          <w:p w14:paraId="7259FB3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技术职称</w:t>
            </w:r>
          </w:p>
        </w:tc>
        <w:tc>
          <w:tcPr>
            <w:tcW w:w="2161" w:type="dxa"/>
            <w:gridSpan w:val="3"/>
            <w:noWrap w:val="0"/>
            <w:vAlign w:val="center"/>
          </w:tcPr>
          <w:p w14:paraId="009EDF6C">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1081" w:type="dxa"/>
            <w:noWrap w:val="0"/>
            <w:vAlign w:val="center"/>
          </w:tcPr>
          <w:p w14:paraId="1E08EB4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电话</w:t>
            </w:r>
          </w:p>
        </w:tc>
        <w:tc>
          <w:tcPr>
            <w:tcW w:w="1148" w:type="dxa"/>
            <w:noWrap w:val="0"/>
            <w:vAlign w:val="center"/>
          </w:tcPr>
          <w:p w14:paraId="526CB1D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621BF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5226548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技术负责人</w:t>
            </w:r>
          </w:p>
        </w:tc>
        <w:tc>
          <w:tcPr>
            <w:tcW w:w="1160" w:type="dxa"/>
            <w:noWrap w:val="0"/>
            <w:vAlign w:val="center"/>
          </w:tcPr>
          <w:p w14:paraId="440C301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姓名</w:t>
            </w:r>
          </w:p>
        </w:tc>
        <w:tc>
          <w:tcPr>
            <w:tcW w:w="1038" w:type="dxa"/>
            <w:noWrap w:val="0"/>
            <w:vAlign w:val="center"/>
          </w:tcPr>
          <w:p w14:paraId="371425E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1367" w:type="dxa"/>
            <w:gridSpan w:val="2"/>
            <w:noWrap w:val="0"/>
            <w:vAlign w:val="center"/>
          </w:tcPr>
          <w:p w14:paraId="04F0DD3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技术职称</w:t>
            </w:r>
          </w:p>
        </w:tc>
        <w:tc>
          <w:tcPr>
            <w:tcW w:w="2161" w:type="dxa"/>
            <w:gridSpan w:val="3"/>
            <w:noWrap w:val="0"/>
            <w:vAlign w:val="center"/>
          </w:tcPr>
          <w:p w14:paraId="40AC0E9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1081" w:type="dxa"/>
            <w:noWrap w:val="0"/>
            <w:vAlign w:val="center"/>
          </w:tcPr>
          <w:p w14:paraId="79B0356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电话</w:t>
            </w:r>
          </w:p>
        </w:tc>
        <w:tc>
          <w:tcPr>
            <w:tcW w:w="1148" w:type="dxa"/>
            <w:noWrap w:val="0"/>
            <w:vAlign w:val="center"/>
          </w:tcPr>
          <w:p w14:paraId="4707C12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693AB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619A88C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成立时间</w:t>
            </w:r>
          </w:p>
        </w:tc>
        <w:tc>
          <w:tcPr>
            <w:tcW w:w="2198" w:type="dxa"/>
            <w:gridSpan w:val="2"/>
            <w:noWrap w:val="0"/>
            <w:vAlign w:val="center"/>
          </w:tcPr>
          <w:p w14:paraId="2DE5419A">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5757" w:type="dxa"/>
            <w:gridSpan w:val="7"/>
            <w:noWrap w:val="0"/>
            <w:vAlign w:val="center"/>
          </w:tcPr>
          <w:p w14:paraId="5A2B68B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员工总人数：</w:t>
            </w:r>
          </w:p>
        </w:tc>
      </w:tr>
      <w:tr w14:paraId="3FAE4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3FD08DC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企业资质等级</w:t>
            </w:r>
          </w:p>
        </w:tc>
        <w:tc>
          <w:tcPr>
            <w:tcW w:w="2198" w:type="dxa"/>
            <w:gridSpan w:val="2"/>
            <w:noWrap w:val="0"/>
            <w:vAlign w:val="center"/>
          </w:tcPr>
          <w:p w14:paraId="5DB3551C">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932" w:type="dxa"/>
            <w:vMerge w:val="restart"/>
            <w:noWrap w:val="0"/>
            <w:vAlign w:val="center"/>
          </w:tcPr>
          <w:p w14:paraId="795A118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其中</w:t>
            </w:r>
          </w:p>
        </w:tc>
        <w:tc>
          <w:tcPr>
            <w:tcW w:w="2596" w:type="dxa"/>
            <w:gridSpan w:val="4"/>
            <w:noWrap w:val="0"/>
            <w:vAlign w:val="center"/>
          </w:tcPr>
          <w:p w14:paraId="093FEDBA">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项目经理</w:t>
            </w:r>
          </w:p>
        </w:tc>
        <w:tc>
          <w:tcPr>
            <w:tcW w:w="2229" w:type="dxa"/>
            <w:gridSpan w:val="2"/>
            <w:noWrap w:val="0"/>
            <w:vAlign w:val="center"/>
          </w:tcPr>
          <w:p w14:paraId="68D00E97">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37096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2D9A9F2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营业执照号</w:t>
            </w:r>
          </w:p>
        </w:tc>
        <w:tc>
          <w:tcPr>
            <w:tcW w:w="2198" w:type="dxa"/>
            <w:gridSpan w:val="2"/>
            <w:noWrap w:val="0"/>
            <w:vAlign w:val="center"/>
          </w:tcPr>
          <w:p w14:paraId="3605EDE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932" w:type="dxa"/>
            <w:vMerge w:val="continue"/>
            <w:noWrap w:val="0"/>
            <w:vAlign w:val="center"/>
          </w:tcPr>
          <w:p w14:paraId="6E0802E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2596" w:type="dxa"/>
            <w:gridSpan w:val="4"/>
            <w:noWrap w:val="0"/>
            <w:vAlign w:val="center"/>
          </w:tcPr>
          <w:p w14:paraId="2160DB2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高级职称人员</w:t>
            </w:r>
          </w:p>
        </w:tc>
        <w:tc>
          <w:tcPr>
            <w:tcW w:w="2229" w:type="dxa"/>
            <w:gridSpan w:val="2"/>
            <w:noWrap w:val="0"/>
            <w:vAlign w:val="center"/>
          </w:tcPr>
          <w:p w14:paraId="5B24F3FE">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0C46B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1E424F4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注册资金</w:t>
            </w:r>
          </w:p>
        </w:tc>
        <w:tc>
          <w:tcPr>
            <w:tcW w:w="2198" w:type="dxa"/>
            <w:gridSpan w:val="2"/>
            <w:noWrap w:val="0"/>
            <w:vAlign w:val="center"/>
          </w:tcPr>
          <w:p w14:paraId="17509F0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932" w:type="dxa"/>
            <w:vMerge w:val="continue"/>
            <w:noWrap w:val="0"/>
            <w:vAlign w:val="center"/>
          </w:tcPr>
          <w:p w14:paraId="1BCA300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2596" w:type="dxa"/>
            <w:gridSpan w:val="4"/>
            <w:noWrap w:val="0"/>
            <w:vAlign w:val="center"/>
          </w:tcPr>
          <w:p w14:paraId="01B0612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中级职称人员</w:t>
            </w:r>
          </w:p>
        </w:tc>
        <w:tc>
          <w:tcPr>
            <w:tcW w:w="2229" w:type="dxa"/>
            <w:gridSpan w:val="2"/>
            <w:noWrap w:val="0"/>
            <w:vAlign w:val="center"/>
          </w:tcPr>
          <w:p w14:paraId="5E9F3ED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5AF3C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2CD5873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开户银行</w:t>
            </w:r>
          </w:p>
        </w:tc>
        <w:tc>
          <w:tcPr>
            <w:tcW w:w="2198" w:type="dxa"/>
            <w:gridSpan w:val="2"/>
            <w:noWrap w:val="0"/>
            <w:vAlign w:val="center"/>
          </w:tcPr>
          <w:p w14:paraId="4980373C">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932" w:type="dxa"/>
            <w:vMerge w:val="continue"/>
            <w:noWrap w:val="0"/>
            <w:vAlign w:val="center"/>
          </w:tcPr>
          <w:p w14:paraId="0073363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2596" w:type="dxa"/>
            <w:gridSpan w:val="4"/>
            <w:noWrap w:val="0"/>
            <w:vAlign w:val="center"/>
          </w:tcPr>
          <w:p w14:paraId="2D31D39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初级职称人员</w:t>
            </w:r>
          </w:p>
        </w:tc>
        <w:tc>
          <w:tcPr>
            <w:tcW w:w="2229" w:type="dxa"/>
            <w:gridSpan w:val="2"/>
            <w:noWrap w:val="0"/>
            <w:vAlign w:val="center"/>
          </w:tcPr>
          <w:p w14:paraId="18B6916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5F02D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1865" w:type="dxa"/>
            <w:noWrap w:val="0"/>
            <w:vAlign w:val="center"/>
          </w:tcPr>
          <w:p w14:paraId="61BF5AA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账号</w:t>
            </w:r>
          </w:p>
        </w:tc>
        <w:tc>
          <w:tcPr>
            <w:tcW w:w="2198" w:type="dxa"/>
            <w:gridSpan w:val="2"/>
            <w:noWrap w:val="0"/>
            <w:vAlign w:val="center"/>
          </w:tcPr>
          <w:p w14:paraId="618A911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932" w:type="dxa"/>
            <w:vMerge w:val="continue"/>
            <w:noWrap w:val="0"/>
            <w:vAlign w:val="center"/>
          </w:tcPr>
          <w:p w14:paraId="5C84C10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c>
          <w:tcPr>
            <w:tcW w:w="2596" w:type="dxa"/>
            <w:gridSpan w:val="4"/>
            <w:noWrap w:val="0"/>
            <w:vAlign w:val="center"/>
          </w:tcPr>
          <w:p w14:paraId="748C7F6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技工</w:t>
            </w:r>
          </w:p>
        </w:tc>
        <w:tc>
          <w:tcPr>
            <w:tcW w:w="2229" w:type="dxa"/>
            <w:gridSpan w:val="2"/>
            <w:noWrap w:val="0"/>
            <w:vAlign w:val="center"/>
          </w:tcPr>
          <w:p w14:paraId="5DF9F29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167FC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7" w:hRule="atLeast"/>
        </w:trPr>
        <w:tc>
          <w:tcPr>
            <w:tcW w:w="1865" w:type="dxa"/>
            <w:noWrap w:val="0"/>
            <w:vAlign w:val="center"/>
          </w:tcPr>
          <w:p w14:paraId="3D7F3EA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经营范围</w:t>
            </w:r>
          </w:p>
        </w:tc>
        <w:tc>
          <w:tcPr>
            <w:tcW w:w="7955" w:type="dxa"/>
            <w:gridSpan w:val="9"/>
            <w:noWrap w:val="0"/>
            <w:vAlign w:val="center"/>
          </w:tcPr>
          <w:p w14:paraId="7E822773">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3A38F2A6">
            <w:pPr>
              <w:tabs>
                <w:tab w:val="center" w:pos="4153"/>
                <w:tab w:val="right" w:pos="8306"/>
              </w:tabs>
              <w:autoSpaceDE w:val="0"/>
              <w:autoSpaceDN w:val="0"/>
              <w:adjustRightInd w:val="0"/>
              <w:snapToGrid w:val="0"/>
              <w:spacing w:line="520" w:lineRule="exact"/>
              <w:jc w:val="both"/>
              <w:rPr>
                <w:rFonts w:hint="eastAsia"/>
                <w:color w:val="auto"/>
                <w:kern w:val="0"/>
                <w:sz w:val="24"/>
                <w:szCs w:val="24"/>
                <w:highlight w:val="none"/>
              </w:rPr>
            </w:pPr>
          </w:p>
        </w:tc>
      </w:tr>
      <w:tr w14:paraId="1FCE3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865" w:type="dxa"/>
            <w:noWrap w:val="0"/>
            <w:vAlign w:val="center"/>
          </w:tcPr>
          <w:p w14:paraId="1554875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备注</w:t>
            </w:r>
          </w:p>
        </w:tc>
        <w:tc>
          <w:tcPr>
            <w:tcW w:w="7955" w:type="dxa"/>
            <w:gridSpan w:val="9"/>
            <w:noWrap w:val="0"/>
            <w:vAlign w:val="center"/>
          </w:tcPr>
          <w:p w14:paraId="7BD5E3E0">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bl>
    <w:p w14:paraId="7DF66BE9">
      <w:pPr>
        <w:rPr>
          <w:rFonts w:hint="eastAsia"/>
          <w:color w:val="auto"/>
          <w:kern w:val="0"/>
          <w:sz w:val="24"/>
          <w:szCs w:val="24"/>
          <w:highlight w:val="none"/>
        </w:rPr>
      </w:pPr>
    </w:p>
    <w:p w14:paraId="516B5A45">
      <w:pPr>
        <w:pStyle w:val="6"/>
        <w:ind w:firstLine="3132" w:firstLineChars="1300"/>
        <w:rPr>
          <w:rFonts w:hint="eastAsia"/>
          <w:color w:val="auto"/>
          <w:kern w:val="0"/>
          <w:szCs w:val="24"/>
          <w:highlight w:val="none"/>
        </w:rPr>
      </w:pPr>
      <w:bookmarkStart w:id="347" w:name="_Toc191374666"/>
      <w:bookmarkStart w:id="348" w:name="_Toc72846719"/>
      <w:bookmarkStart w:id="349" w:name="_Toc72846870"/>
      <w:bookmarkStart w:id="350" w:name="_Toc322004765"/>
      <w:bookmarkStart w:id="351" w:name="_Toc320951804"/>
      <w:bookmarkStart w:id="352" w:name="_Toc290118968"/>
      <w:bookmarkStart w:id="353" w:name="_Toc61616154"/>
      <w:bookmarkStart w:id="354" w:name="_Toc322004620"/>
      <w:bookmarkStart w:id="355" w:name="_Toc18404990"/>
      <w:r>
        <w:rPr>
          <w:rFonts w:hint="eastAsia"/>
          <w:color w:val="auto"/>
          <w:kern w:val="0"/>
          <w:szCs w:val="24"/>
          <w:highlight w:val="none"/>
        </w:rPr>
        <w:t>（二）近三年财务状况表</w:t>
      </w:r>
      <w:bookmarkEnd w:id="347"/>
      <w:bookmarkEnd w:id="348"/>
      <w:bookmarkEnd w:id="349"/>
      <w:bookmarkEnd w:id="350"/>
      <w:bookmarkEnd w:id="351"/>
      <w:bookmarkEnd w:id="352"/>
      <w:bookmarkEnd w:id="353"/>
      <w:bookmarkEnd w:id="354"/>
      <w:bookmarkEnd w:id="355"/>
    </w:p>
    <w:p w14:paraId="53982749">
      <w:pPr>
        <w:autoSpaceDE w:val="0"/>
        <w:autoSpaceDN w:val="0"/>
        <w:adjustRightInd w:val="0"/>
        <w:spacing w:line="360" w:lineRule="auto"/>
        <w:ind w:firstLine="720" w:firstLineChars="3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一、开户银行情况</w:t>
      </w:r>
    </w:p>
    <w:tbl>
      <w:tblPr>
        <w:tblStyle w:val="21"/>
        <w:tblW w:w="0" w:type="auto"/>
        <w:tblInd w:w="452" w:type="dxa"/>
        <w:tblLayout w:type="fixed"/>
        <w:tblCellMar>
          <w:top w:w="0" w:type="dxa"/>
          <w:left w:w="0" w:type="dxa"/>
          <w:bottom w:w="0" w:type="dxa"/>
          <w:right w:w="0" w:type="dxa"/>
        </w:tblCellMar>
      </w:tblPr>
      <w:tblGrid>
        <w:gridCol w:w="1800"/>
        <w:gridCol w:w="2336"/>
        <w:gridCol w:w="4144"/>
      </w:tblGrid>
      <w:tr w14:paraId="402C1B3D">
        <w:tblPrEx>
          <w:tblCellMar>
            <w:top w:w="0" w:type="dxa"/>
            <w:left w:w="0" w:type="dxa"/>
            <w:bottom w:w="0" w:type="dxa"/>
            <w:right w:w="0" w:type="dxa"/>
          </w:tblCellMar>
        </w:tblPrEx>
        <w:trPr>
          <w:cantSplit/>
        </w:trPr>
        <w:tc>
          <w:tcPr>
            <w:tcW w:w="1800" w:type="dxa"/>
            <w:vMerge w:val="restart"/>
            <w:tcBorders>
              <w:top w:val="single" w:color="auto" w:sz="6" w:space="0"/>
              <w:left w:val="single" w:color="auto" w:sz="6" w:space="0"/>
              <w:bottom w:val="nil"/>
              <w:right w:val="single" w:color="auto" w:sz="6" w:space="0"/>
            </w:tcBorders>
            <w:noWrap w:val="0"/>
            <w:vAlign w:val="center"/>
          </w:tcPr>
          <w:p w14:paraId="0C1A2A2C">
            <w:pPr>
              <w:autoSpaceDE w:val="0"/>
              <w:autoSpaceDN w:val="0"/>
              <w:adjustRightIn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开 户 银 行</w:t>
            </w:r>
          </w:p>
        </w:tc>
        <w:tc>
          <w:tcPr>
            <w:tcW w:w="6480" w:type="dxa"/>
            <w:gridSpan w:val="2"/>
            <w:tcBorders>
              <w:top w:val="single" w:color="auto" w:sz="6" w:space="0"/>
              <w:left w:val="single" w:color="auto" w:sz="6" w:space="0"/>
              <w:bottom w:val="single" w:color="auto" w:sz="6" w:space="0"/>
              <w:right w:val="single" w:color="auto" w:sz="6" w:space="0"/>
            </w:tcBorders>
            <w:noWrap w:val="0"/>
            <w:vAlign w:val="center"/>
          </w:tcPr>
          <w:p w14:paraId="668F364B">
            <w:pPr>
              <w:autoSpaceDE w:val="0"/>
              <w:autoSpaceDN w:val="0"/>
              <w:adjustRightInd w:val="0"/>
              <w:spacing w:line="360" w:lineRule="auto"/>
              <w:ind w:left="-2" w:leftChars="-1" w:firstLine="204" w:firstLineChars="85"/>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名称：</w:t>
            </w:r>
          </w:p>
        </w:tc>
      </w:tr>
      <w:tr w14:paraId="1EEAA791">
        <w:tblPrEx>
          <w:tblCellMar>
            <w:top w:w="0" w:type="dxa"/>
            <w:left w:w="0" w:type="dxa"/>
            <w:bottom w:w="0" w:type="dxa"/>
            <w:right w:w="0" w:type="dxa"/>
          </w:tblCellMar>
        </w:tblPrEx>
        <w:trPr>
          <w:cantSplit/>
        </w:trPr>
        <w:tc>
          <w:tcPr>
            <w:tcW w:w="1800" w:type="dxa"/>
            <w:vMerge w:val="continue"/>
            <w:tcBorders>
              <w:top w:val="nil"/>
              <w:left w:val="single" w:color="auto" w:sz="6" w:space="0"/>
              <w:bottom w:val="single" w:color="auto" w:sz="6" w:space="0"/>
              <w:right w:val="single" w:color="auto" w:sz="6" w:space="0"/>
            </w:tcBorders>
            <w:noWrap w:val="0"/>
            <w:vAlign w:val="center"/>
          </w:tcPr>
          <w:p w14:paraId="4C84142D">
            <w:pPr>
              <w:autoSpaceDE w:val="0"/>
              <w:autoSpaceDN w:val="0"/>
              <w:adjustRightInd w:val="0"/>
              <w:spacing w:line="360" w:lineRule="auto"/>
              <w:jc w:val="center"/>
              <w:rPr>
                <w:rFonts w:ascii="宋体" w:hAnsi="宋体"/>
                <w:color w:val="auto"/>
                <w:kern w:val="0"/>
                <w:sz w:val="24"/>
                <w:szCs w:val="24"/>
                <w:highlight w:val="none"/>
              </w:rPr>
            </w:pPr>
          </w:p>
        </w:tc>
        <w:tc>
          <w:tcPr>
            <w:tcW w:w="6480" w:type="dxa"/>
            <w:gridSpan w:val="2"/>
            <w:tcBorders>
              <w:top w:val="single" w:color="auto" w:sz="6" w:space="0"/>
              <w:left w:val="single" w:color="auto" w:sz="6" w:space="0"/>
              <w:bottom w:val="single" w:color="auto" w:sz="6" w:space="0"/>
              <w:right w:val="single" w:color="auto" w:sz="6" w:space="0"/>
            </w:tcBorders>
            <w:noWrap w:val="0"/>
            <w:vAlign w:val="center"/>
          </w:tcPr>
          <w:p w14:paraId="4F1C5FD7">
            <w:pPr>
              <w:autoSpaceDE w:val="0"/>
              <w:autoSpaceDN w:val="0"/>
              <w:adjustRightInd w:val="0"/>
              <w:spacing w:line="360" w:lineRule="auto"/>
              <w:ind w:firstLine="158" w:firstLineChars="66"/>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地址：</w:t>
            </w:r>
          </w:p>
        </w:tc>
      </w:tr>
      <w:tr w14:paraId="45BAD294">
        <w:tblPrEx>
          <w:tblCellMar>
            <w:top w:w="0" w:type="dxa"/>
            <w:left w:w="0" w:type="dxa"/>
            <w:bottom w:w="0" w:type="dxa"/>
            <w:right w:w="0" w:type="dxa"/>
          </w:tblCellMar>
        </w:tblPrEx>
        <w:trPr>
          <w:cantSplit/>
        </w:trPr>
        <w:tc>
          <w:tcPr>
            <w:tcW w:w="1800" w:type="dxa"/>
            <w:vMerge w:val="continue"/>
            <w:tcBorders>
              <w:top w:val="nil"/>
              <w:left w:val="single" w:color="auto" w:sz="6" w:space="0"/>
              <w:bottom w:val="single" w:color="auto" w:sz="6" w:space="0"/>
              <w:right w:val="single" w:color="auto" w:sz="6" w:space="0"/>
            </w:tcBorders>
            <w:noWrap w:val="0"/>
            <w:vAlign w:val="center"/>
          </w:tcPr>
          <w:p w14:paraId="05292CE5">
            <w:pPr>
              <w:autoSpaceDE w:val="0"/>
              <w:autoSpaceDN w:val="0"/>
              <w:adjustRightInd w:val="0"/>
              <w:spacing w:line="360" w:lineRule="auto"/>
              <w:jc w:val="center"/>
              <w:rPr>
                <w:rFonts w:ascii="宋体" w:hAnsi="宋体"/>
                <w:color w:val="auto"/>
                <w:kern w:val="0"/>
                <w:sz w:val="24"/>
                <w:szCs w:val="24"/>
                <w:highlight w:val="none"/>
              </w:rPr>
            </w:pPr>
          </w:p>
        </w:tc>
        <w:tc>
          <w:tcPr>
            <w:tcW w:w="2336" w:type="dxa"/>
            <w:tcBorders>
              <w:top w:val="single" w:color="auto" w:sz="6" w:space="0"/>
              <w:left w:val="single" w:color="auto" w:sz="6" w:space="0"/>
              <w:bottom w:val="single" w:color="auto" w:sz="6" w:space="0"/>
              <w:right w:val="single" w:color="auto" w:sz="6" w:space="0"/>
            </w:tcBorders>
            <w:noWrap w:val="0"/>
            <w:vAlign w:val="center"/>
          </w:tcPr>
          <w:p w14:paraId="67895A61">
            <w:pPr>
              <w:autoSpaceDE w:val="0"/>
              <w:autoSpaceDN w:val="0"/>
              <w:adjustRightInd w:val="0"/>
              <w:spacing w:line="360" w:lineRule="auto"/>
              <w:ind w:firstLine="158" w:firstLineChars="66"/>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电话：</w:t>
            </w:r>
          </w:p>
        </w:tc>
        <w:tc>
          <w:tcPr>
            <w:tcW w:w="4144" w:type="dxa"/>
            <w:tcBorders>
              <w:top w:val="single" w:color="auto" w:sz="6" w:space="0"/>
              <w:left w:val="single" w:color="auto" w:sz="6" w:space="0"/>
              <w:bottom w:val="single" w:color="auto" w:sz="6" w:space="0"/>
              <w:right w:val="single" w:color="auto" w:sz="6" w:space="0"/>
            </w:tcBorders>
            <w:noWrap w:val="0"/>
            <w:vAlign w:val="center"/>
          </w:tcPr>
          <w:p w14:paraId="2026533C">
            <w:pPr>
              <w:autoSpaceDE w:val="0"/>
              <w:autoSpaceDN w:val="0"/>
              <w:adjustRightInd w:val="0"/>
              <w:spacing w:line="360" w:lineRule="auto"/>
              <w:ind w:firstLine="163" w:firstLineChars="68"/>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联系人及职务：</w:t>
            </w:r>
          </w:p>
        </w:tc>
      </w:tr>
      <w:tr w14:paraId="370F7A08">
        <w:tblPrEx>
          <w:tblCellMar>
            <w:top w:w="0" w:type="dxa"/>
            <w:left w:w="0" w:type="dxa"/>
            <w:bottom w:w="0" w:type="dxa"/>
            <w:right w:w="0" w:type="dxa"/>
          </w:tblCellMar>
        </w:tblPrEx>
        <w:trPr>
          <w:cantSplit/>
        </w:trPr>
        <w:tc>
          <w:tcPr>
            <w:tcW w:w="1800" w:type="dxa"/>
            <w:vMerge w:val="continue"/>
            <w:tcBorders>
              <w:top w:val="nil"/>
              <w:left w:val="single" w:color="auto" w:sz="6" w:space="0"/>
              <w:bottom w:val="single" w:color="auto" w:sz="6" w:space="0"/>
              <w:right w:val="single" w:color="auto" w:sz="6" w:space="0"/>
            </w:tcBorders>
            <w:noWrap w:val="0"/>
            <w:vAlign w:val="center"/>
          </w:tcPr>
          <w:p w14:paraId="01FE593E">
            <w:pPr>
              <w:autoSpaceDE w:val="0"/>
              <w:autoSpaceDN w:val="0"/>
              <w:adjustRightInd w:val="0"/>
              <w:spacing w:line="360" w:lineRule="auto"/>
              <w:jc w:val="center"/>
              <w:rPr>
                <w:rFonts w:ascii="宋体" w:hAnsi="宋体"/>
                <w:color w:val="auto"/>
                <w:kern w:val="0"/>
                <w:sz w:val="24"/>
                <w:szCs w:val="24"/>
                <w:highlight w:val="none"/>
              </w:rPr>
            </w:pPr>
          </w:p>
        </w:tc>
        <w:tc>
          <w:tcPr>
            <w:tcW w:w="2336" w:type="dxa"/>
            <w:tcBorders>
              <w:top w:val="single" w:color="auto" w:sz="6" w:space="0"/>
              <w:left w:val="single" w:color="auto" w:sz="6" w:space="0"/>
              <w:bottom w:val="single" w:color="auto" w:sz="6" w:space="0"/>
              <w:right w:val="single" w:color="auto" w:sz="6" w:space="0"/>
            </w:tcBorders>
            <w:noWrap w:val="0"/>
            <w:vAlign w:val="center"/>
          </w:tcPr>
          <w:p w14:paraId="1F6F9D9E">
            <w:pPr>
              <w:autoSpaceDE w:val="0"/>
              <w:autoSpaceDN w:val="0"/>
              <w:adjustRightInd w:val="0"/>
              <w:spacing w:line="360" w:lineRule="auto"/>
              <w:ind w:firstLine="158" w:firstLineChars="66"/>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传真：</w:t>
            </w:r>
          </w:p>
        </w:tc>
        <w:tc>
          <w:tcPr>
            <w:tcW w:w="4144" w:type="dxa"/>
            <w:tcBorders>
              <w:top w:val="single" w:color="auto" w:sz="6" w:space="0"/>
              <w:left w:val="single" w:color="auto" w:sz="6" w:space="0"/>
              <w:bottom w:val="single" w:color="auto" w:sz="6" w:space="0"/>
              <w:right w:val="single" w:color="auto" w:sz="6" w:space="0"/>
            </w:tcBorders>
            <w:noWrap w:val="0"/>
            <w:vAlign w:val="center"/>
          </w:tcPr>
          <w:p w14:paraId="28E10054">
            <w:pPr>
              <w:autoSpaceDE w:val="0"/>
              <w:autoSpaceDN w:val="0"/>
              <w:adjustRightInd w:val="0"/>
              <w:spacing w:line="360" w:lineRule="auto"/>
              <w:ind w:firstLine="163" w:firstLineChars="68"/>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电传：</w:t>
            </w:r>
          </w:p>
        </w:tc>
      </w:tr>
    </w:tbl>
    <w:p w14:paraId="6E3B0AFA">
      <w:pPr>
        <w:autoSpaceDE w:val="0"/>
        <w:autoSpaceDN w:val="0"/>
        <w:adjustRightInd w:val="0"/>
        <w:spacing w:line="360" w:lineRule="auto"/>
        <w:ind w:firstLine="1800"/>
        <w:rPr>
          <w:rFonts w:ascii="宋体" w:hAnsi="宋体" w:cs="宋体"/>
          <w:color w:val="auto"/>
          <w:kern w:val="0"/>
          <w:sz w:val="24"/>
          <w:szCs w:val="24"/>
          <w:highlight w:val="none"/>
        </w:rPr>
      </w:pPr>
    </w:p>
    <w:p w14:paraId="6891A32E">
      <w:pPr>
        <w:autoSpaceDE w:val="0"/>
        <w:autoSpaceDN w:val="0"/>
        <w:adjustRightInd w:val="0"/>
        <w:spacing w:line="360" w:lineRule="auto"/>
        <w:ind w:left="25" w:leftChars="12"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二、近三年每年的资产负债情况</w:t>
      </w:r>
    </w:p>
    <w:tbl>
      <w:tblPr>
        <w:tblStyle w:val="21"/>
        <w:tblW w:w="0" w:type="auto"/>
        <w:tblInd w:w="452" w:type="dxa"/>
        <w:tblLayout w:type="fixed"/>
        <w:tblCellMar>
          <w:top w:w="0" w:type="dxa"/>
          <w:left w:w="0" w:type="dxa"/>
          <w:bottom w:w="0" w:type="dxa"/>
          <w:right w:w="0" w:type="dxa"/>
        </w:tblCellMar>
      </w:tblPr>
      <w:tblGrid>
        <w:gridCol w:w="1800"/>
        <w:gridCol w:w="2340"/>
        <w:gridCol w:w="2160"/>
        <w:gridCol w:w="1980"/>
      </w:tblGrid>
      <w:tr w14:paraId="1586591A">
        <w:tblPrEx>
          <w:tblCellMar>
            <w:top w:w="0" w:type="dxa"/>
            <w:left w:w="0" w:type="dxa"/>
            <w:bottom w:w="0" w:type="dxa"/>
            <w:right w:w="0" w:type="dxa"/>
          </w:tblCellMar>
        </w:tblPrEx>
        <w:trPr>
          <w:cantSplit/>
        </w:trPr>
        <w:tc>
          <w:tcPr>
            <w:tcW w:w="1800" w:type="dxa"/>
            <w:vMerge w:val="restart"/>
            <w:tcBorders>
              <w:top w:val="single" w:color="auto" w:sz="6" w:space="0"/>
              <w:left w:val="single" w:color="auto" w:sz="6" w:space="0"/>
              <w:bottom w:val="nil"/>
              <w:right w:val="single" w:color="auto" w:sz="6" w:space="0"/>
            </w:tcBorders>
            <w:noWrap w:val="0"/>
            <w:vAlign w:val="center"/>
          </w:tcPr>
          <w:p w14:paraId="1B1E7CC6">
            <w:pPr>
              <w:autoSpaceDE w:val="0"/>
              <w:autoSpaceDN w:val="0"/>
              <w:adjustRightIn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财 务 状 况</w:t>
            </w:r>
          </w:p>
          <w:p w14:paraId="5D2ACB14">
            <w:pPr>
              <w:autoSpaceDE w:val="0"/>
              <w:autoSpaceDN w:val="0"/>
              <w:adjustRightIn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（单位）</w:t>
            </w:r>
          </w:p>
        </w:tc>
        <w:tc>
          <w:tcPr>
            <w:tcW w:w="6480" w:type="dxa"/>
            <w:gridSpan w:val="3"/>
            <w:tcBorders>
              <w:top w:val="single" w:color="auto" w:sz="6" w:space="0"/>
              <w:left w:val="single" w:color="auto" w:sz="6" w:space="0"/>
              <w:bottom w:val="single" w:color="auto" w:sz="6" w:space="0"/>
              <w:right w:val="single" w:color="auto" w:sz="6" w:space="0"/>
            </w:tcBorders>
            <w:noWrap w:val="0"/>
            <w:vAlign w:val="center"/>
          </w:tcPr>
          <w:p w14:paraId="55640124">
            <w:pPr>
              <w:autoSpaceDE w:val="0"/>
              <w:autoSpaceDN w:val="0"/>
              <w:adjustRightIn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近 三 年</w:t>
            </w:r>
          </w:p>
        </w:tc>
      </w:tr>
      <w:tr w14:paraId="7B1E55F1">
        <w:tblPrEx>
          <w:tblCellMar>
            <w:top w:w="0" w:type="dxa"/>
            <w:left w:w="0" w:type="dxa"/>
            <w:bottom w:w="0" w:type="dxa"/>
            <w:right w:w="0" w:type="dxa"/>
          </w:tblCellMar>
        </w:tblPrEx>
        <w:trPr>
          <w:cantSplit/>
        </w:trPr>
        <w:tc>
          <w:tcPr>
            <w:tcW w:w="1800" w:type="dxa"/>
            <w:vMerge w:val="continue"/>
            <w:tcBorders>
              <w:top w:val="nil"/>
              <w:left w:val="single" w:color="auto" w:sz="6" w:space="0"/>
              <w:bottom w:val="single" w:color="auto" w:sz="6" w:space="0"/>
              <w:right w:val="single" w:color="auto" w:sz="6" w:space="0"/>
            </w:tcBorders>
            <w:noWrap w:val="0"/>
            <w:vAlign w:val="center"/>
          </w:tcPr>
          <w:p w14:paraId="0318C769">
            <w:pPr>
              <w:autoSpaceDE w:val="0"/>
              <w:autoSpaceDN w:val="0"/>
              <w:adjustRightInd w:val="0"/>
              <w:spacing w:line="360" w:lineRule="auto"/>
              <w:jc w:val="center"/>
              <w:rPr>
                <w:rFonts w:ascii="宋体" w:hAnsi="宋体"/>
                <w:color w:val="auto"/>
                <w:kern w:val="0"/>
                <w:sz w:val="24"/>
                <w:szCs w:val="24"/>
                <w:highlight w:val="none"/>
              </w:rPr>
            </w:pPr>
          </w:p>
        </w:tc>
        <w:tc>
          <w:tcPr>
            <w:tcW w:w="2340" w:type="dxa"/>
            <w:tcBorders>
              <w:top w:val="single" w:color="auto" w:sz="6" w:space="0"/>
              <w:left w:val="single" w:color="auto" w:sz="6" w:space="0"/>
              <w:bottom w:val="single" w:color="auto" w:sz="6" w:space="0"/>
              <w:right w:val="single" w:color="auto" w:sz="6" w:space="0"/>
            </w:tcBorders>
            <w:noWrap w:val="0"/>
            <w:vAlign w:val="center"/>
          </w:tcPr>
          <w:p w14:paraId="4D5B8D75">
            <w:pPr>
              <w:autoSpaceDE w:val="0"/>
              <w:autoSpaceDN w:val="0"/>
              <w:adjustRightIn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第一年（202</w:t>
            </w:r>
            <w:r>
              <w:rPr>
                <w:rFonts w:hint="eastAsia" w:ascii="宋体" w:hAnsi="宋体" w:cs="宋体"/>
                <w:color w:val="auto"/>
                <w:kern w:val="0"/>
                <w:sz w:val="24"/>
                <w:szCs w:val="24"/>
                <w:highlight w:val="none"/>
                <w:lang w:val="en-US" w:eastAsia="zh-CN"/>
              </w:rPr>
              <w:t>1</w:t>
            </w:r>
            <w:r>
              <w:rPr>
                <w:rFonts w:hint="eastAsia" w:ascii="宋体" w:hAnsi="宋体" w:cs="宋体"/>
                <w:color w:val="auto"/>
                <w:kern w:val="0"/>
                <w:sz w:val="24"/>
                <w:szCs w:val="24"/>
                <w:highlight w:val="none"/>
              </w:rPr>
              <w:t>年）</w:t>
            </w:r>
          </w:p>
        </w:tc>
        <w:tc>
          <w:tcPr>
            <w:tcW w:w="2160" w:type="dxa"/>
            <w:tcBorders>
              <w:top w:val="single" w:color="auto" w:sz="6" w:space="0"/>
              <w:left w:val="single" w:color="auto" w:sz="6" w:space="0"/>
              <w:bottom w:val="single" w:color="auto" w:sz="6" w:space="0"/>
              <w:right w:val="single" w:color="auto" w:sz="6" w:space="0"/>
            </w:tcBorders>
            <w:noWrap w:val="0"/>
            <w:vAlign w:val="center"/>
          </w:tcPr>
          <w:p w14:paraId="0DBA7177">
            <w:pPr>
              <w:autoSpaceDE w:val="0"/>
              <w:autoSpaceDN w:val="0"/>
              <w:adjustRightIn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第二年（20</w:t>
            </w:r>
            <w:r>
              <w:rPr>
                <w:rFonts w:hint="eastAsia" w:ascii="宋体" w:hAnsi="宋体" w:cs="宋体"/>
                <w:color w:val="auto"/>
                <w:kern w:val="0"/>
                <w:sz w:val="24"/>
                <w:szCs w:val="24"/>
                <w:highlight w:val="none"/>
                <w:lang w:val="en-US" w:eastAsia="zh-CN"/>
              </w:rPr>
              <w:t>22</w:t>
            </w:r>
            <w:r>
              <w:rPr>
                <w:rFonts w:hint="eastAsia" w:ascii="宋体" w:hAnsi="宋体" w:cs="宋体"/>
                <w:color w:val="auto"/>
                <w:kern w:val="0"/>
                <w:sz w:val="24"/>
                <w:szCs w:val="24"/>
                <w:highlight w:val="none"/>
              </w:rPr>
              <w:t>年）</w:t>
            </w:r>
          </w:p>
        </w:tc>
        <w:tc>
          <w:tcPr>
            <w:tcW w:w="1980" w:type="dxa"/>
            <w:tcBorders>
              <w:top w:val="single" w:color="auto" w:sz="6" w:space="0"/>
              <w:left w:val="single" w:color="auto" w:sz="6" w:space="0"/>
              <w:bottom w:val="single" w:color="auto" w:sz="6" w:space="0"/>
              <w:right w:val="single" w:color="auto" w:sz="6" w:space="0"/>
            </w:tcBorders>
            <w:noWrap w:val="0"/>
            <w:vAlign w:val="center"/>
          </w:tcPr>
          <w:p w14:paraId="24AEC982">
            <w:pPr>
              <w:autoSpaceDE w:val="0"/>
              <w:autoSpaceDN w:val="0"/>
              <w:adjustRightIn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第三年（2</w:t>
            </w:r>
            <w:r>
              <w:rPr>
                <w:rFonts w:hint="eastAsia" w:ascii="宋体" w:hAnsi="宋体" w:cs="宋体"/>
                <w:color w:val="auto"/>
                <w:kern w:val="0"/>
                <w:sz w:val="24"/>
                <w:szCs w:val="24"/>
                <w:highlight w:val="none"/>
                <w:lang w:val="en-US" w:eastAsia="zh-CN"/>
              </w:rPr>
              <w:t>023</w:t>
            </w:r>
            <w:r>
              <w:rPr>
                <w:rFonts w:hint="eastAsia" w:ascii="宋体" w:hAnsi="宋体" w:cs="宋体"/>
                <w:color w:val="auto"/>
                <w:kern w:val="0"/>
                <w:sz w:val="24"/>
                <w:szCs w:val="24"/>
                <w:highlight w:val="none"/>
              </w:rPr>
              <w:t>年）</w:t>
            </w:r>
          </w:p>
        </w:tc>
      </w:tr>
      <w:tr w14:paraId="71607A3C">
        <w:tblPrEx>
          <w:tblCellMar>
            <w:top w:w="0" w:type="dxa"/>
            <w:left w:w="0" w:type="dxa"/>
            <w:bottom w:w="0" w:type="dxa"/>
            <w:right w:w="0" w:type="dxa"/>
          </w:tblCellMar>
        </w:tblPrEx>
        <w:tc>
          <w:tcPr>
            <w:tcW w:w="1800" w:type="dxa"/>
            <w:tcBorders>
              <w:top w:val="single" w:color="auto" w:sz="6" w:space="0"/>
              <w:left w:val="single" w:color="auto" w:sz="6" w:space="0"/>
              <w:bottom w:val="single" w:color="auto" w:sz="6" w:space="0"/>
              <w:right w:val="single" w:color="auto" w:sz="6" w:space="0"/>
            </w:tcBorders>
            <w:noWrap w:val="0"/>
            <w:vAlign w:val="center"/>
          </w:tcPr>
          <w:p w14:paraId="772CB429">
            <w:pPr>
              <w:autoSpaceDE w:val="0"/>
              <w:autoSpaceDN w:val="0"/>
              <w:adjustRightInd w:val="0"/>
              <w:spacing w:line="360" w:lineRule="auto"/>
              <w:ind w:left="210" w:leftChars="1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1．总资产</w:t>
            </w:r>
          </w:p>
        </w:tc>
        <w:tc>
          <w:tcPr>
            <w:tcW w:w="2340" w:type="dxa"/>
            <w:tcBorders>
              <w:top w:val="single" w:color="auto" w:sz="6" w:space="0"/>
              <w:left w:val="single" w:color="auto" w:sz="6" w:space="0"/>
              <w:bottom w:val="single" w:color="auto" w:sz="6" w:space="0"/>
              <w:right w:val="single" w:color="auto" w:sz="6" w:space="0"/>
            </w:tcBorders>
            <w:noWrap w:val="0"/>
            <w:vAlign w:val="center"/>
          </w:tcPr>
          <w:p w14:paraId="4E26AFC8">
            <w:pPr>
              <w:autoSpaceDE w:val="0"/>
              <w:autoSpaceDN w:val="0"/>
              <w:adjustRightInd w:val="0"/>
              <w:spacing w:line="360" w:lineRule="auto"/>
              <w:jc w:val="center"/>
              <w:rPr>
                <w:rFonts w:ascii="宋体" w:hAnsi="宋体"/>
                <w:color w:val="auto"/>
                <w:kern w:val="0"/>
                <w:sz w:val="24"/>
                <w:szCs w:val="24"/>
                <w:highlight w:val="none"/>
              </w:rPr>
            </w:pPr>
          </w:p>
        </w:tc>
        <w:tc>
          <w:tcPr>
            <w:tcW w:w="2160" w:type="dxa"/>
            <w:tcBorders>
              <w:top w:val="single" w:color="auto" w:sz="6" w:space="0"/>
              <w:left w:val="single" w:color="auto" w:sz="6" w:space="0"/>
              <w:bottom w:val="single" w:color="auto" w:sz="6" w:space="0"/>
              <w:right w:val="single" w:color="auto" w:sz="6" w:space="0"/>
            </w:tcBorders>
            <w:noWrap w:val="0"/>
            <w:vAlign w:val="center"/>
          </w:tcPr>
          <w:p w14:paraId="44AF3EFB">
            <w:pPr>
              <w:autoSpaceDE w:val="0"/>
              <w:autoSpaceDN w:val="0"/>
              <w:adjustRightInd w:val="0"/>
              <w:spacing w:line="360" w:lineRule="auto"/>
              <w:jc w:val="center"/>
              <w:rPr>
                <w:rFonts w:ascii="宋体" w:hAnsi="宋体"/>
                <w:color w:val="auto"/>
                <w:kern w:val="0"/>
                <w:sz w:val="24"/>
                <w:szCs w:val="24"/>
                <w:highlight w:val="none"/>
              </w:rPr>
            </w:pPr>
          </w:p>
        </w:tc>
        <w:tc>
          <w:tcPr>
            <w:tcW w:w="1980" w:type="dxa"/>
            <w:tcBorders>
              <w:top w:val="single" w:color="auto" w:sz="6" w:space="0"/>
              <w:left w:val="single" w:color="auto" w:sz="6" w:space="0"/>
              <w:bottom w:val="single" w:color="auto" w:sz="6" w:space="0"/>
              <w:right w:val="single" w:color="auto" w:sz="6" w:space="0"/>
            </w:tcBorders>
            <w:noWrap w:val="0"/>
            <w:vAlign w:val="center"/>
          </w:tcPr>
          <w:p w14:paraId="0B2E9445">
            <w:pPr>
              <w:autoSpaceDE w:val="0"/>
              <w:autoSpaceDN w:val="0"/>
              <w:adjustRightInd w:val="0"/>
              <w:spacing w:line="360" w:lineRule="auto"/>
              <w:jc w:val="center"/>
              <w:rPr>
                <w:rFonts w:ascii="宋体" w:hAnsi="宋体"/>
                <w:color w:val="auto"/>
                <w:kern w:val="0"/>
                <w:sz w:val="24"/>
                <w:szCs w:val="24"/>
                <w:highlight w:val="none"/>
              </w:rPr>
            </w:pPr>
          </w:p>
        </w:tc>
      </w:tr>
      <w:tr w14:paraId="2561A4E3">
        <w:tblPrEx>
          <w:tblCellMar>
            <w:top w:w="0" w:type="dxa"/>
            <w:left w:w="0" w:type="dxa"/>
            <w:bottom w:w="0" w:type="dxa"/>
            <w:right w:w="0" w:type="dxa"/>
          </w:tblCellMar>
        </w:tblPrEx>
        <w:tc>
          <w:tcPr>
            <w:tcW w:w="1800" w:type="dxa"/>
            <w:tcBorders>
              <w:top w:val="single" w:color="auto" w:sz="6" w:space="0"/>
              <w:left w:val="single" w:color="auto" w:sz="6" w:space="0"/>
              <w:bottom w:val="single" w:color="auto" w:sz="6" w:space="0"/>
              <w:right w:val="single" w:color="auto" w:sz="6" w:space="0"/>
            </w:tcBorders>
            <w:noWrap w:val="0"/>
            <w:vAlign w:val="center"/>
          </w:tcPr>
          <w:p w14:paraId="5726BE21">
            <w:pPr>
              <w:autoSpaceDE w:val="0"/>
              <w:autoSpaceDN w:val="0"/>
              <w:adjustRightInd w:val="0"/>
              <w:spacing w:line="360" w:lineRule="auto"/>
              <w:ind w:left="210" w:leftChars="100"/>
              <w:jc w:val="left"/>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．流动资产</w:t>
            </w:r>
          </w:p>
        </w:tc>
        <w:tc>
          <w:tcPr>
            <w:tcW w:w="2340" w:type="dxa"/>
            <w:tcBorders>
              <w:top w:val="single" w:color="auto" w:sz="6" w:space="0"/>
              <w:left w:val="single" w:color="auto" w:sz="6" w:space="0"/>
              <w:bottom w:val="single" w:color="auto" w:sz="6" w:space="0"/>
              <w:right w:val="single" w:color="auto" w:sz="6" w:space="0"/>
            </w:tcBorders>
            <w:noWrap w:val="0"/>
            <w:vAlign w:val="center"/>
          </w:tcPr>
          <w:p w14:paraId="1EE65C72">
            <w:pPr>
              <w:autoSpaceDE w:val="0"/>
              <w:autoSpaceDN w:val="0"/>
              <w:adjustRightInd w:val="0"/>
              <w:spacing w:line="360" w:lineRule="auto"/>
              <w:jc w:val="center"/>
              <w:rPr>
                <w:rFonts w:ascii="宋体" w:hAnsi="宋体"/>
                <w:color w:val="auto"/>
                <w:kern w:val="0"/>
                <w:sz w:val="24"/>
                <w:szCs w:val="24"/>
                <w:highlight w:val="none"/>
              </w:rPr>
            </w:pPr>
          </w:p>
        </w:tc>
        <w:tc>
          <w:tcPr>
            <w:tcW w:w="2160" w:type="dxa"/>
            <w:tcBorders>
              <w:top w:val="single" w:color="auto" w:sz="6" w:space="0"/>
              <w:left w:val="single" w:color="auto" w:sz="6" w:space="0"/>
              <w:bottom w:val="single" w:color="auto" w:sz="6" w:space="0"/>
              <w:right w:val="single" w:color="auto" w:sz="6" w:space="0"/>
            </w:tcBorders>
            <w:noWrap w:val="0"/>
            <w:vAlign w:val="center"/>
          </w:tcPr>
          <w:p w14:paraId="682BB91F">
            <w:pPr>
              <w:autoSpaceDE w:val="0"/>
              <w:autoSpaceDN w:val="0"/>
              <w:adjustRightInd w:val="0"/>
              <w:spacing w:line="360" w:lineRule="auto"/>
              <w:jc w:val="center"/>
              <w:rPr>
                <w:rFonts w:ascii="宋体" w:hAnsi="宋体"/>
                <w:color w:val="auto"/>
                <w:kern w:val="0"/>
                <w:sz w:val="24"/>
                <w:szCs w:val="24"/>
                <w:highlight w:val="none"/>
              </w:rPr>
            </w:pPr>
          </w:p>
        </w:tc>
        <w:tc>
          <w:tcPr>
            <w:tcW w:w="1980" w:type="dxa"/>
            <w:tcBorders>
              <w:top w:val="single" w:color="auto" w:sz="6" w:space="0"/>
              <w:left w:val="single" w:color="auto" w:sz="6" w:space="0"/>
              <w:bottom w:val="single" w:color="auto" w:sz="6" w:space="0"/>
              <w:right w:val="single" w:color="auto" w:sz="6" w:space="0"/>
            </w:tcBorders>
            <w:noWrap w:val="0"/>
            <w:vAlign w:val="center"/>
          </w:tcPr>
          <w:p w14:paraId="7BC265D1">
            <w:pPr>
              <w:autoSpaceDE w:val="0"/>
              <w:autoSpaceDN w:val="0"/>
              <w:adjustRightInd w:val="0"/>
              <w:spacing w:line="360" w:lineRule="auto"/>
              <w:jc w:val="center"/>
              <w:rPr>
                <w:rFonts w:ascii="宋体" w:hAnsi="宋体"/>
                <w:color w:val="auto"/>
                <w:kern w:val="0"/>
                <w:sz w:val="24"/>
                <w:szCs w:val="24"/>
                <w:highlight w:val="none"/>
              </w:rPr>
            </w:pPr>
          </w:p>
        </w:tc>
      </w:tr>
      <w:tr w14:paraId="67F671C8">
        <w:tblPrEx>
          <w:tblCellMar>
            <w:top w:w="0" w:type="dxa"/>
            <w:left w:w="0" w:type="dxa"/>
            <w:bottom w:w="0" w:type="dxa"/>
            <w:right w:w="0" w:type="dxa"/>
          </w:tblCellMar>
        </w:tblPrEx>
        <w:tc>
          <w:tcPr>
            <w:tcW w:w="1800" w:type="dxa"/>
            <w:tcBorders>
              <w:top w:val="single" w:color="auto" w:sz="6" w:space="0"/>
              <w:left w:val="single" w:color="auto" w:sz="6" w:space="0"/>
              <w:bottom w:val="single" w:color="auto" w:sz="6" w:space="0"/>
              <w:right w:val="single" w:color="auto" w:sz="6" w:space="0"/>
            </w:tcBorders>
            <w:noWrap w:val="0"/>
            <w:vAlign w:val="center"/>
          </w:tcPr>
          <w:p w14:paraId="076D6B6A">
            <w:pPr>
              <w:autoSpaceDE w:val="0"/>
              <w:autoSpaceDN w:val="0"/>
              <w:adjustRightInd w:val="0"/>
              <w:spacing w:line="360" w:lineRule="auto"/>
              <w:ind w:left="210" w:leftChars="100"/>
              <w:jc w:val="left"/>
              <w:rPr>
                <w:rFonts w:ascii="宋体" w:hAnsi="宋体" w:cs="宋体"/>
                <w:color w:val="auto"/>
                <w:kern w:val="0"/>
                <w:sz w:val="24"/>
                <w:szCs w:val="24"/>
                <w:highlight w:val="none"/>
              </w:rPr>
            </w:pPr>
            <w:r>
              <w:rPr>
                <w:rFonts w:ascii="宋体" w:hAnsi="宋体" w:cs="宋体"/>
                <w:color w:val="auto"/>
                <w:kern w:val="0"/>
                <w:sz w:val="24"/>
                <w:szCs w:val="24"/>
                <w:highlight w:val="none"/>
              </w:rPr>
              <w:t>3</w:t>
            </w:r>
            <w:r>
              <w:rPr>
                <w:rFonts w:hint="eastAsia" w:ascii="宋体" w:hAnsi="宋体" w:cs="宋体"/>
                <w:color w:val="auto"/>
                <w:kern w:val="0"/>
                <w:sz w:val="24"/>
                <w:szCs w:val="24"/>
                <w:highlight w:val="none"/>
              </w:rPr>
              <w:t>．总负债</w:t>
            </w:r>
          </w:p>
        </w:tc>
        <w:tc>
          <w:tcPr>
            <w:tcW w:w="2340" w:type="dxa"/>
            <w:tcBorders>
              <w:top w:val="single" w:color="auto" w:sz="6" w:space="0"/>
              <w:left w:val="single" w:color="auto" w:sz="6" w:space="0"/>
              <w:bottom w:val="single" w:color="auto" w:sz="6" w:space="0"/>
              <w:right w:val="single" w:color="auto" w:sz="6" w:space="0"/>
            </w:tcBorders>
            <w:noWrap w:val="0"/>
            <w:vAlign w:val="center"/>
          </w:tcPr>
          <w:p w14:paraId="65778666">
            <w:pPr>
              <w:autoSpaceDE w:val="0"/>
              <w:autoSpaceDN w:val="0"/>
              <w:adjustRightInd w:val="0"/>
              <w:spacing w:line="360" w:lineRule="auto"/>
              <w:jc w:val="center"/>
              <w:rPr>
                <w:rFonts w:ascii="宋体" w:hAnsi="宋体"/>
                <w:color w:val="auto"/>
                <w:kern w:val="0"/>
                <w:sz w:val="24"/>
                <w:szCs w:val="24"/>
                <w:highlight w:val="none"/>
              </w:rPr>
            </w:pPr>
          </w:p>
        </w:tc>
        <w:tc>
          <w:tcPr>
            <w:tcW w:w="2160" w:type="dxa"/>
            <w:tcBorders>
              <w:top w:val="single" w:color="auto" w:sz="6" w:space="0"/>
              <w:left w:val="single" w:color="auto" w:sz="6" w:space="0"/>
              <w:bottom w:val="single" w:color="auto" w:sz="6" w:space="0"/>
              <w:right w:val="single" w:color="auto" w:sz="6" w:space="0"/>
            </w:tcBorders>
            <w:noWrap w:val="0"/>
            <w:vAlign w:val="center"/>
          </w:tcPr>
          <w:p w14:paraId="00C7EED8">
            <w:pPr>
              <w:autoSpaceDE w:val="0"/>
              <w:autoSpaceDN w:val="0"/>
              <w:adjustRightInd w:val="0"/>
              <w:spacing w:line="360" w:lineRule="auto"/>
              <w:jc w:val="center"/>
              <w:rPr>
                <w:rFonts w:ascii="宋体" w:hAnsi="宋体"/>
                <w:color w:val="auto"/>
                <w:kern w:val="0"/>
                <w:sz w:val="24"/>
                <w:szCs w:val="24"/>
                <w:highlight w:val="none"/>
              </w:rPr>
            </w:pPr>
          </w:p>
        </w:tc>
        <w:tc>
          <w:tcPr>
            <w:tcW w:w="1980" w:type="dxa"/>
            <w:tcBorders>
              <w:top w:val="single" w:color="auto" w:sz="6" w:space="0"/>
              <w:left w:val="single" w:color="auto" w:sz="6" w:space="0"/>
              <w:bottom w:val="single" w:color="auto" w:sz="6" w:space="0"/>
              <w:right w:val="single" w:color="auto" w:sz="6" w:space="0"/>
            </w:tcBorders>
            <w:noWrap w:val="0"/>
            <w:vAlign w:val="center"/>
          </w:tcPr>
          <w:p w14:paraId="0C222BF2">
            <w:pPr>
              <w:autoSpaceDE w:val="0"/>
              <w:autoSpaceDN w:val="0"/>
              <w:adjustRightInd w:val="0"/>
              <w:spacing w:line="360" w:lineRule="auto"/>
              <w:jc w:val="center"/>
              <w:rPr>
                <w:rFonts w:ascii="宋体" w:hAnsi="宋体"/>
                <w:color w:val="auto"/>
                <w:kern w:val="0"/>
                <w:sz w:val="24"/>
                <w:szCs w:val="24"/>
                <w:highlight w:val="none"/>
              </w:rPr>
            </w:pPr>
          </w:p>
        </w:tc>
      </w:tr>
      <w:tr w14:paraId="6536EFA1">
        <w:tblPrEx>
          <w:tblCellMar>
            <w:top w:w="0" w:type="dxa"/>
            <w:left w:w="0" w:type="dxa"/>
            <w:bottom w:w="0" w:type="dxa"/>
            <w:right w:w="0" w:type="dxa"/>
          </w:tblCellMar>
        </w:tblPrEx>
        <w:tc>
          <w:tcPr>
            <w:tcW w:w="1800" w:type="dxa"/>
            <w:tcBorders>
              <w:top w:val="single" w:color="auto" w:sz="6" w:space="0"/>
              <w:left w:val="single" w:color="auto" w:sz="6" w:space="0"/>
              <w:bottom w:val="single" w:color="auto" w:sz="6" w:space="0"/>
              <w:right w:val="single" w:color="auto" w:sz="6" w:space="0"/>
            </w:tcBorders>
            <w:noWrap w:val="0"/>
            <w:vAlign w:val="center"/>
          </w:tcPr>
          <w:p w14:paraId="64AED365">
            <w:pPr>
              <w:autoSpaceDE w:val="0"/>
              <w:autoSpaceDN w:val="0"/>
              <w:adjustRightInd w:val="0"/>
              <w:spacing w:line="360" w:lineRule="auto"/>
              <w:ind w:left="210" w:leftChars="100"/>
              <w:jc w:val="left"/>
              <w:rPr>
                <w:rFonts w:ascii="宋体" w:hAnsi="宋体" w:cs="宋体"/>
                <w:color w:val="auto"/>
                <w:kern w:val="0"/>
                <w:sz w:val="24"/>
                <w:szCs w:val="24"/>
                <w:highlight w:val="none"/>
              </w:rPr>
            </w:pPr>
            <w:r>
              <w:rPr>
                <w:rFonts w:ascii="宋体" w:hAnsi="宋体" w:cs="宋体"/>
                <w:color w:val="auto"/>
                <w:kern w:val="0"/>
                <w:sz w:val="24"/>
                <w:szCs w:val="24"/>
                <w:highlight w:val="none"/>
              </w:rPr>
              <w:t>4</w:t>
            </w:r>
            <w:r>
              <w:rPr>
                <w:rFonts w:hint="eastAsia" w:ascii="宋体" w:hAnsi="宋体" w:cs="宋体"/>
                <w:color w:val="auto"/>
                <w:kern w:val="0"/>
                <w:sz w:val="24"/>
                <w:szCs w:val="24"/>
                <w:highlight w:val="none"/>
              </w:rPr>
              <w:t>．流动负债</w:t>
            </w:r>
          </w:p>
        </w:tc>
        <w:tc>
          <w:tcPr>
            <w:tcW w:w="2340" w:type="dxa"/>
            <w:tcBorders>
              <w:top w:val="single" w:color="auto" w:sz="6" w:space="0"/>
              <w:left w:val="single" w:color="auto" w:sz="6" w:space="0"/>
              <w:bottom w:val="single" w:color="auto" w:sz="6" w:space="0"/>
              <w:right w:val="single" w:color="auto" w:sz="6" w:space="0"/>
            </w:tcBorders>
            <w:noWrap w:val="0"/>
            <w:vAlign w:val="center"/>
          </w:tcPr>
          <w:p w14:paraId="6E7FE340">
            <w:pPr>
              <w:autoSpaceDE w:val="0"/>
              <w:autoSpaceDN w:val="0"/>
              <w:adjustRightInd w:val="0"/>
              <w:spacing w:line="360" w:lineRule="auto"/>
              <w:jc w:val="center"/>
              <w:rPr>
                <w:rFonts w:ascii="宋体" w:hAnsi="宋体"/>
                <w:color w:val="auto"/>
                <w:kern w:val="0"/>
                <w:sz w:val="24"/>
                <w:szCs w:val="24"/>
                <w:highlight w:val="none"/>
              </w:rPr>
            </w:pPr>
          </w:p>
        </w:tc>
        <w:tc>
          <w:tcPr>
            <w:tcW w:w="2160" w:type="dxa"/>
            <w:tcBorders>
              <w:top w:val="single" w:color="auto" w:sz="6" w:space="0"/>
              <w:left w:val="single" w:color="auto" w:sz="6" w:space="0"/>
              <w:bottom w:val="single" w:color="auto" w:sz="6" w:space="0"/>
              <w:right w:val="single" w:color="auto" w:sz="6" w:space="0"/>
            </w:tcBorders>
            <w:noWrap w:val="0"/>
            <w:vAlign w:val="center"/>
          </w:tcPr>
          <w:p w14:paraId="1143DA1F">
            <w:pPr>
              <w:autoSpaceDE w:val="0"/>
              <w:autoSpaceDN w:val="0"/>
              <w:adjustRightInd w:val="0"/>
              <w:spacing w:line="360" w:lineRule="auto"/>
              <w:jc w:val="center"/>
              <w:rPr>
                <w:rFonts w:ascii="宋体" w:hAnsi="宋体"/>
                <w:color w:val="auto"/>
                <w:kern w:val="0"/>
                <w:sz w:val="24"/>
                <w:szCs w:val="24"/>
                <w:highlight w:val="none"/>
              </w:rPr>
            </w:pPr>
          </w:p>
        </w:tc>
        <w:tc>
          <w:tcPr>
            <w:tcW w:w="1980" w:type="dxa"/>
            <w:tcBorders>
              <w:top w:val="single" w:color="auto" w:sz="6" w:space="0"/>
              <w:left w:val="single" w:color="auto" w:sz="6" w:space="0"/>
              <w:bottom w:val="single" w:color="auto" w:sz="6" w:space="0"/>
              <w:right w:val="single" w:color="auto" w:sz="6" w:space="0"/>
            </w:tcBorders>
            <w:noWrap w:val="0"/>
            <w:vAlign w:val="center"/>
          </w:tcPr>
          <w:p w14:paraId="0B2CA7BF">
            <w:pPr>
              <w:autoSpaceDE w:val="0"/>
              <w:autoSpaceDN w:val="0"/>
              <w:adjustRightInd w:val="0"/>
              <w:spacing w:line="360" w:lineRule="auto"/>
              <w:jc w:val="center"/>
              <w:rPr>
                <w:rFonts w:ascii="宋体" w:hAnsi="宋体"/>
                <w:color w:val="auto"/>
                <w:kern w:val="0"/>
                <w:sz w:val="24"/>
                <w:szCs w:val="24"/>
                <w:highlight w:val="none"/>
              </w:rPr>
            </w:pPr>
          </w:p>
        </w:tc>
      </w:tr>
      <w:tr w14:paraId="0C66A93D">
        <w:tblPrEx>
          <w:tblCellMar>
            <w:top w:w="0" w:type="dxa"/>
            <w:left w:w="0" w:type="dxa"/>
            <w:bottom w:w="0" w:type="dxa"/>
            <w:right w:w="0" w:type="dxa"/>
          </w:tblCellMar>
        </w:tblPrEx>
        <w:tc>
          <w:tcPr>
            <w:tcW w:w="1800" w:type="dxa"/>
            <w:tcBorders>
              <w:top w:val="single" w:color="auto" w:sz="6" w:space="0"/>
              <w:left w:val="single" w:color="auto" w:sz="6" w:space="0"/>
              <w:bottom w:val="single" w:color="auto" w:sz="6" w:space="0"/>
              <w:right w:val="single" w:color="auto" w:sz="6" w:space="0"/>
            </w:tcBorders>
            <w:noWrap w:val="0"/>
            <w:vAlign w:val="center"/>
          </w:tcPr>
          <w:p w14:paraId="70EA92EB">
            <w:pPr>
              <w:autoSpaceDE w:val="0"/>
              <w:autoSpaceDN w:val="0"/>
              <w:adjustRightInd w:val="0"/>
              <w:spacing w:line="360" w:lineRule="auto"/>
              <w:ind w:left="210" w:leftChars="100"/>
              <w:jc w:val="left"/>
              <w:rPr>
                <w:rFonts w:ascii="宋体" w:hAnsi="宋体" w:cs="宋体"/>
                <w:color w:val="auto"/>
                <w:kern w:val="0"/>
                <w:sz w:val="24"/>
                <w:szCs w:val="24"/>
                <w:highlight w:val="none"/>
              </w:rPr>
            </w:pPr>
            <w:r>
              <w:rPr>
                <w:rFonts w:ascii="宋体" w:hAnsi="宋体" w:cs="宋体"/>
                <w:color w:val="auto"/>
                <w:kern w:val="0"/>
                <w:sz w:val="24"/>
                <w:szCs w:val="24"/>
                <w:highlight w:val="none"/>
              </w:rPr>
              <w:t>5</w:t>
            </w:r>
            <w:r>
              <w:rPr>
                <w:rFonts w:hint="eastAsia" w:ascii="宋体" w:hAnsi="宋体" w:cs="宋体"/>
                <w:color w:val="auto"/>
                <w:kern w:val="0"/>
                <w:sz w:val="24"/>
                <w:szCs w:val="24"/>
                <w:highlight w:val="none"/>
              </w:rPr>
              <w:t>．税前利润</w:t>
            </w:r>
          </w:p>
        </w:tc>
        <w:tc>
          <w:tcPr>
            <w:tcW w:w="2340" w:type="dxa"/>
            <w:tcBorders>
              <w:top w:val="single" w:color="auto" w:sz="6" w:space="0"/>
              <w:left w:val="single" w:color="auto" w:sz="6" w:space="0"/>
              <w:bottom w:val="single" w:color="auto" w:sz="6" w:space="0"/>
              <w:right w:val="single" w:color="auto" w:sz="6" w:space="0"/>
            </w:tcBorders>
            <w:noWrap w:val="0"/>
            <w:vAlign w:val="center"/>
          </w:tcPr>
          <w:p w14:paraId="13F6237B">
            <w:pPr>
              <w:autoSpaceDE w:val="0"/>
              <w:autoSpaceDN w:val="0"/>
              <w:adjustRightInd w:val="0"/>
              <w:spacing w:line="360" w:lineRule="auto"/>
              <w:jc w:val="center"/>
              <w:rPr>
                <w:rFonts w:ascii="宋体" w:hAnsi="宋体"/>
                <w:color w:val="auto"/>
                <w:kern w:val="0"/>
                <w:sz w:val="24"/>
                <w:szCs w:val="24"/>
                <w:highlight w:val="none"/>
              </w:rPr>
            </w:pPr>
          </w:p>
        </w:tc>
        <w:tc>
          <w:tcPr>
            <w:tcW w:w="2160" w:type="dxa"/>
            <w:tcBorders>
              <w:top w:val="single" w:color="auto" w:sz="6" w:space="0"/>
              <w:left w:val="single" w:color="auto" w:sz="6" w:space="0"/>
              <w:bottom w:val="single" w:color="auto" w:sz="6" w:space="0"/>
              <w:right w:val="single" w:color="auto" w:sz="6" w:space="0"/>
            </w:tcBorders>
            <w:noWrap w:val="0"/>
            <w:vAlign w:val="center"/>
          </w:tcPr>
          <w:p w14:paraId="26A5FB59">
            <w:pPr>
              <w:autoSpaceDE w:val="0"/>
              <w:autoSpaceDN w:val="0"/>
              <w:adjustRightInd w:val="0"/>
              <w:spacing w:line="360" w:lineRule="auto"/>
              <w:jc w:val="center"/>
              <w:rPr>
                <w:rFonts w:ascii="宋体" w:hAnsi="宋体"/>
                <w:color w:val="auto"/>
                <w:kern w:val="0"/>
                <w:sz w:val="24"/>
                <w:szCs w:val="24"/>
                <w:highlight w:val="none"/>
              </w:rPr>
            </w:pPr>
          </w:p>
        </w:tc>
        <w:tc>
          <w:tcPr>
            <w:tcW w:w="1980" w:type="dxa"/>
            <w:tcBorders>
              <w:top w:val="single" w:color="auto" w:sz="6" w:space="0"/>
              <w:left w:val="single" w:color="auto" w:sz="6" w:space="0"/>
              <w:bottom w:val="single" w:color="auto" w:sz="6" w:space="0"/>
              <w:right w:val="single" w:color="auto" w:sz="6" w:space="0"/>
            </w:tcBorders>
            <w:noWrap w:val="0"/>
            <w:vAlign w:val="center"/>
          </w:tcPr>
          <w:p w14:paraId="7F645A7D">
            <w:pPr>
              <w:autoSpaceDE w:val="0"/>
              <w:autoSpaceDN w:val="0"/>
              <w:adjustRightInd w:val="0"/>
              <w:spacing w:line="360" w:lineRule="auto"/>
              <w:jc w:val="center"/>
              <w:rPr>
                <w:rFonts w:ascii="宋体" w:hAnsi="宋体"/>
                <w:color w:val="auto"/>
                <w:kern w:val="0"/>
                <w:sz w:val="24"/>
                <w:szCs w:val="24"/>
                <w:highlight w:val="none"/>
              </w:rPr>
            </w:pPr>
          </w:p>
        </w:tc>
      </w:tr>
      <w:tr w14:paraId="0DDBDC20">
        <w:tblPrEx>
          <w:tblCellMar>
            <w:top w:w="0" w:type="dxa"/>
            <w:left w:w="0" w:type="dxa"/>
            <w:bottom w:w="0" w:type="dxa"/>
            <w:right w:w="0" w:type="dxa"/>
          </w:tblCellMar>
        </w:tblPrEx>
        <w:tc>
          <w:tcPr>
            <w:tcW w:w="1800" w:type="dxa"/>
            <w:tcBorders>
              <w:top w:val="single" w:color="auto" w:sz="6" w:space="0"/>
              <w:left w:val="single" w:color="auto" w:sz="6" w:space="0"/>
              <w:bottom w:val="single" w:color="auto" w:sz="6" w:space="0"/>
              <w:right w:val="single" w:color="auto" w:sz="6" w:space="0"/>
            </w:tcBorders>
            <w:noWrap w:val="0"/>
            <w:vAlign w:val="center"/>
          </w:tcPr>
          <w:p w14:paraId="29B477DD">
            <w:pPr>
              <w:autoSpaceDE w:val="0"/>
              <w:autoSpaceDN w:val="0"/>
              <w:adjustRightInd w:val="0"/>
              <w:spacing w:line="360" w:lineRule="auto"/>
              <w:ind w:left="210" w:leftChars="100"/>
              <w:jc w:val="left"/>
              <w:rPr>
                <w:rFonts w:ascii="宋体" w:hAnsi="宋体" w:cs="宋体"/>
                <w:color w:val="auto"/>
                <w:kern w:val="0"/>
                <w:sz w:val="24"/>
                <w:szCs w:val="24"/>
                <w:highlight w:val="none"/>
              </w:rPr>
            </w:pPr>
            <w:r>
              <w:rPr>
                <w:rFonts w:ascii="宋体" w:hAnsi="宋体" w:cs="宋体"/>
                <w:color w:val="auto"/>
                <w:kern w:val="0"/>
                <w:sz w:val="24"/>
                <w:szCs w:val="24"/>
                <w:highlight w:val="none"/>
              </w:rPr>
              <w:t>6</w:t>
            </w:r>
            <w:r>
              <w:rPr>
                <w:rFonts w:hint="eastAsia" w:ascii="宋体" w:hAnsi="宋体" w:cs="宋体"/>
                <w:color w:val="auto"/>
                <w:kern w:val="0"/>
                <w:sz w:val="24"/>
                <w:szCs w:val="24"/>
                <w:highlight w:val="none"/>
              </w:rPr>
              <w:t>．税后利润</w:t>
            </w:r>
          </w:p>
        </w:tc>
        <w:tc>
          <w:tcPr>
            <w:tcW w:w="2340" w:type="dxa"/>
            <w:tcBorders>
              <w:top w:val="single" w:color="auto" w:sz="6" w:space="0"/>
              <w:left w:val="single" w:color="auto" w:sz="6" w:space="0"/>
              <w:bottom w:val="single" w:color="auto" w:sz="6" w:space="0"/>
              <w:right w:val="single" w:color="auto" w:sz="6" w:space="0"/>
            </w:tcBorders>
            <w:noWrap w:val="0"/>
            <w:vAlign w:val="center"/>
          </w:tcPr>
          <w:p w14:paraId="2B2C4F45">
            <w:pPr>
              <w:autoSpaceDE w:val="0"/>
              <w:autoSpaceDN w:val="0"/>
              <w:adjustRightInd w:val="0"/>
              <w:spacing w:line="360" w:lineRule="auto"/>
              <w:jc w:val="center"/>
              <w:rPr>
                <w:rFonts w:ascii="宋体" w:hAnsi="宋体"/>
                <w:color w:val="auto"/>
                <w:kern w:val="0"/>
                <w:sz w:val="24"/>
                <w:szCs w:val="24"/>
                <w:highlight w:val="none"/>
              </w:rPr>
            </w:pPr>
          </w:p>
        </w:tc>
        <w:tc>
          <w:tcPr>
            <w:tcW w:w="2160" w:type="dxa"/>
            <w:tcBorders>
              <w:top w:val="single" w:color="auto" w:sz="6" w:space="0"/>
              <w:left w:val="single" w:color="auto" w:sz="6" w:space="0"/>
              <w:bottom w:val="single" w:color="auto" w:sz="6" w:space="0"/>
              <w:right w:val="single" w:color="auto" w:sz="6" w:space="0"/>
            </w:tcBorders>
            <w:noWrap w:val="0"/>
            <w:vAlign w:val="center"/>
          </w:tcPr>
          <w:p w14:paraId="2900289D">
            <w:pPr>
              <w:autoSpaceDE w:val="0"/>
              <w:autoSpaceDN w:val="0"/>
              <w:adjustRightInd w:val="0"/>
              <w:spacing w:line="360" w:lineRule="auto"/>
              <w:jc w:val="center"/>
              <w:rPr>
                <w:rFonts w:ascii="宋体" w:hAnsi="宋体"/>
                <w:color w:val="auto"/>
                <w:kern w:val="0"/>
                <w:sz w:val="24"/>
                <w:szCs w:val="24"/>
                <w:highlight w:val="none"/>
              </w:rPr>
            </w:pPr>
          </w:p>
        </w:tc>
        <w:tc>
          <w:tcPr>
            <w:tcW w:w="1980" w:type="dxa"/>
            <w:tcBorders>
              <w:top w:val="single" w:color="auto" w:sz="6" w:space="0"/>
              <w:left w:val="single" w:color="auto" w:sz="6" w:space="0"/>
              <w:bottom w:val="single" w:color="auto" w:sz="6" w:space="0"/>
              <w:right w:val="single" w:color="auto" w:sz="6" w:space="0"/>
            </w:tcBorders>
            <w:noWrap w:val="0"/>
            <w:vAlign w:val="center"/>
          </w:tcPr>
          <w:p w14:paraId="7CF5EE08">
            <w:pPr>
              <w:autoSpaceDE w:val="0"/>
              <w:autoSpaceDN w:val="0"/>
              <w:adjustRightInd w:val="0"/>
              <w:spacing w:line="360" w:lineRule="auto"/>
              <w:jc w:val="center"/>
              <w:rPr>
                <w:rFonts w:ascii="宋体" w:hAnsi="宋体"/>
                <w:color w:val="auto"/>
                <w:kern w:val="0"/>
                <w:sz w:val="24"/>
                <w:szCs w:val="24"/>
                <w:highlight w:val="none"/>
              </w:rPr>
            </w:pPr>
          </w:p>
        </w:tc>
      </w:tr>
    </w:tbl>
    <w:p w14:paraId="7AF83BB2">
      <w:pPr>
        <w:spacing w:line="360" w:lineRule="auto"/>
        <w:ind w:firstLine="480" w:firstLineChars="200"/>
        <w:rPr>
          <w:rFonts w:hint="eastAsia"/>
          <w:color w:val="auto"/>
          <w:highlight w:val="none"/>
        </w:rPr>
      </w:pPr>
      <w:r>
        <w:rPr>
          <w:rFonts w:hint="eastAsia" w:ascii="宋体" w:hAnsi="宋体" w:cs="宋体"/>
          <w:color w:val="auto"/>
          <w:kern w:val="0"/>
          <w:sz w:val="24"/>
          <w:szCs w:val="24"/>
          <w:highlight w:val="none"/>
        </w:rPr>
        <w:t>注：投标人请附最近三年的财务报告及报表，包括资产负债表、损益表和现金流量表。经审计的提供审计的财务报表及审计报告，未经审计的提供财务报表。</w:t>
      </w:r>
    </w:p>
    <w:p w14:paraId="6311AEF5">
      <w:pPr>
        <w:spacing w:line="360" w:lineRule="auto"/>
        <w:ind w:firstLine="420" w:firstLineChars="200"/>
        <w:rPr>
          <w:rFonts w:hint="eastAsia"/>
          <w:color w:val="auto"/>
          <w:highlight w:val="none"/>
        </w:rPr>
      </w:pPr>
    </w:p>
    <w:p w14:paraId="2ED3C451">
      <w:pPr>
        <w:pStyle w:val="6"/>
        <w:jc w:val="center"/>
        <w:rPr>
          <w:rFonts w:hint="eastAsia"/>
          <w:color w:val="auto"/>
          <w:kern w:val="0"/>
          <w:szCs w:val="24"/>
          <w:highlight w:val="none"/>
        </w:rPr>
      </w:pPr>
      <w:bookmarkStart w:id="356" w:name="_Toc191374667"/>
      <w:r>
        <w:rPr>
          <w:color w:val="auto"/>
          <w:kern w:val="0"/>
          <w:szCs w:val="24"/>
          <w:highlight w:val="none"/>
        </w:rPr>
        <w:br w:type="page"/>
      </w:r>
      <w:bookmarkStart w:id="357" w:name="_Toc290118969"/>
      <w:bookmarkStart w:id="358" w:name="_Toc322004766"/>
      <w:bookmarkStart w:id="359" w:name="_Toc18404991"/>
      <w:bookmarkStart w:id="360" w:name="_Toc61616155"/>
      <w:bookmarkStart w:id="361" w:name="_Toc72846720"/>
      <w:bookmarkStart w:id="362" w:name="_Toc72846871"/>
      <w:bookmarkStart w:id="363" w:name="_Toc322004621"/>
      <w:bookmarkStart w:id="364" w:name="_Toc320951805"/>
      <w:r>
        <w:rPr>
          <w:rFonts w:hint="eastAsia"/>
          <w:color w:val="auto"/>
          <w:kern w:val="0"/>
          <w:szCs w:val="24"/>
          <w:highlight w:val="none"/>
        </w:rPr>
        <w:t>（三）近年完成的类似项目情况表</w:t>
      </w:r>
      <w:bookmarkEnd w:id="356"/>
      <w:bookmarkEnd w:id="357"/>
      <w:bookmarkEnd w:id="358"/>
      <w:bookmarkEnd w:id="359"/>
      <w:bookmarkEnd w:id="360"/>
      <w:bookmarkEnd w:id="361"/>
      <w:bookmarkEnd w:id="362"/>
      <w:bookmarkEnd w:id="363"/>
      <w:bookmarkEnd w:id="364"/>
    </w:p>
    <w:p w14:paraId="46E0A64D">
      <w:pPr>
        <w:autoSpaceDE w:val="0"/>
        <w:autoSpaceDN w:val="0"/>
        <w:adjustRightInd w:val="0"/>
        <w:spacing w:line="520" w:lineRule="exact"/>
        <w:ind w:firstLine="435"/>
        <w:jc w:val="center"/>
        <w:rPr>
          <w:rFonts w:hint="eastAsia"/>
          <w:b/>
          <w:color w:val="auto"/>
          <w:kern w:val="0"/>
          <w:sz w:val="24"/>
          <w:szCs w:val="24"/>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0"/>
        <w:gridCol w:w="6796"/>
      </w:tblGrid>
      <w:tr w14:paraId="5F533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66BFC3B3">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项目名称</w:t>
            </w:r>
          </w:p>
        </w:tc>
        <w:tc>
          <w:tcPr>
            <w:tcW w:w="6796" w:type="dxa"/>
            <w:noWrap w:val="0"/>
            <w:vAlign w:val="center"/>
          </w:tcPr>
          <w:p w14:paraId="2F075833">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1CAE5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24DA1FE9">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项目所在地</w:t>
            </w:r>
          </w:p>
        </w:tc>
        <w:tc>
          <w:tcPr>
            <w:tcW w:w="6796" w:type="dxa"/>
            <w:noWrap w:val="0"/>
            <w:vAlign w:val="center"/>
          </w:tcPr>
          <w:p w14:paraId="42D7C09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34D21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7B6AB09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发包人名称</w:t>
            </w:r>
          </w:p>
        </w:tc>
        <w:tc>
          <w:tcPr>
            <w:tcW w:w="6796" w:type="dxa"/>
            <w:noWrap w:val="0"/>
            <w:vAlign w:val="center"/>
          </w:tcPr>
          <w:p w14:paraId="35451147">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0B938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1C8F3E0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发包人地址</w:t>
            </w:r>
          </w:p>
        </w:tc>
        <w:tc>
          <w:tcPr>
            <w:tcW w:w="6796" w:type="dxa"/>
            <w:noWrap w:val="0"/>
            <w:vAlign w:val="center"/>
          </w:tcPr>
          <w:p w14:paraId="16B7DA4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45039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020A38C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发包人电话</w:t>
            </w:r>
          </w:p>
        </w:tc>
        <w:tc>
          <w:tcPr>
            <w:tcW w:w="6796" w:type="dxa"/>
            <w:noWrap w:val="0"/>
            <w:vAlign w:val="center"/>
          </w:tcPr>
          <w:p w14:paraId="5D455A1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4FD0F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59A2148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合同价格</w:t>
            </w:r>
          </w:p>
        </w:tc>
        <w:tc>
          <w:tcPr>
            <w:tcW w:w="6796" w:type="dxa"/>
            <w:noWrap w:val="0"/>
            <w:vAlign w:val="center"/>
          </w:tcPr>
          <w:p w14:paraId="5D8A577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7EF50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5D03281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开工日期</w:t>
            </w:r>
          </w:p>
        </w:tc>
        <w:tc>
          <w:tcPr>
            <w:tcW w:w="6796" w:type="dxa"/>
            <w:noWrap w:val="0"/>
            <w:vAlign w:val="center"/>
          </w:tcPr>
          <w:p w14:paraId="6489AD30">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25735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6DE22650">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竣工日期</w:t>
            </w:r>
          </w:p>
        </w:tc>
        <w:tc>
          <w:tcPr>
            <w:tcW w:w="6796" w:type="dxa"/>
            <w:noWrap w:val="0"/>
            <w:vAlign w:val="center"/>
          </w:tcPr>
          <w:p w14:paraId="482B7263">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572B8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62F09DB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承担的工作</w:t>
            </w:r>
          </w:p>
        </w:tc>
        <w:tc>
          <w:tcPr>
            <w:tcW w:w="6796" w:type="dxa"/>
            <w:noWrap w:val="0"/>
            <w:vAlign w:val="center"/>
          </w:tcPr>
          <w:p w14:paraId="2BDCC19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3EDDC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2D171DA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工程质量</w:t>
            </w:r>
          </w:p>
        </w:tc>
        <w:tc>
          <w:tcPr>
            <w:tcW w:w="6796" w:type="dxa"/>
            <w:noWrap w:val="0"/>
            <w:vAlign w:val="center"/>
          </w:tcPr>
          <w:p w14:paraId="2DE8C16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4EC40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6B0B18EA">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项目经理</w:t>
            </w:r>
          </w:p>
        </w:tc>
        <w:tc>
          <w:tcPr>
            <w:tcW w:w="6796" w:type="dxa"/>
            <w:noWrap w:val="0"/>
            <w:vAlign w:val="center"/>
          </w:tcPr>
          <w:p w14:paraId="57A2BACE">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5FB0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590B075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技术负责人</w:t>
            </w:r>
          </w:p>
        </w:tc>
        <w:tc>
          <w:tcPr>
            <w:tcW w:w="6796" w:type="dxa"/>
            <w:noWrap w:val="0"/>
            <w:vAlign w:val="center"/>
          </w:tcPr>
          <w:p w14:paraId="788EC86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520DE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631EFD5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总监理工程师及电话</w:t>
            </w:r>
          </w:p>
        </w:tc>
        <w:tc>
          <w:tcPr>
            <w:tcW w:w="6796" w:type="dxa"/>
            <w:noWrap w:val="0"/>
            <w:vAlign w:val="center"/>
          </w:tcPr>
          <w:p w14:paraId="52EE261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2A749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6934A76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项目描述</w:t>
            </w:r>
          </w:p>
        </w:tc>
        <w:tc>
          <w:tcPr>
            <w:tcW w:w="6796" w:type="dxa"/>
            <w:noWrap w:val="0"/>
            <w:vAlign w:val="center"/>
          </w:tcPr>
          <w:p w14:paraId="172878B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414B9F4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1F51051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36BBC6F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4736A95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599E449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41D74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7346C11E">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备注</w:t>
            </w:r>
          </w:p>
        </w:tc>
        <w:tc>
          <w:tcPr>
            <w:tcW w:w="6796" w:type="dxa"/>
            <w:noWrap w:val="0"/>
            <w:vAlign w:val="center"/>
          </w:tcPr>
          <w:p w14:paraId="5D2DE5D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bl>
    <w:p w14:paraId="5049463A">
      <w:pPr>
        <w:rPr>
          <w:color w:val="auto"/>
          <w:sz w:val="24"/>
          <w:szCs w:val="24"/>
          <w:highlight w:val="none"/>
        </w:rPr>
      </w:pPr>
    </w:p>
    <w:p w14:paraId="53E6626D">
      <w:pPr>
        <w:pStyle w:val="6"/>
        <w:jc w:val="center"/>
        <w:rPr>
          <w:rFonts w:hint="eastAsia"/>
          <w:color w:val="auto"/>
          <w:kern w:val="0"/>
          <w:szCs w:val="24"/>
          <w:highlight w:val="none"/>
        </w:rPr>
      </w:pPr>
      <w:r>
        <w:rPr>
          <w:color w:val="auto"/>
          <w:kern w:val="0"/>
          <w:szCs w:val="24"/>
          <w:highlight w:val="none"/>
        </w:rPr>
        <w:br w:type="page"/>
      </w:r>
      <w:bookmarkStart w:id="365" w:name="_Toc320951806"/>
      <w:bookmarkStart w:id="366" w:name="_Toc61616156"/>
      <w:bookmarkStart w:id="367" w:name="_Toc191374668"/>
      <w:bookmarkStart w:id="368" w:name="_Toc290118970"/>
      <w:bookmarkStart w:id="369" w:name="_Toc72846872"/>
      <w:bookmarkStart w:id="370" w:name="_Toc72846721"/>
      <w:bookmarkStart w:id="371" w:name="_Toc322004622"/>
      <w:bookmarkStart w:id="372" w:name="_Toc18404992"/>
      <w:bookmarkStart w:id="373" w:name="_Toc322004767"/>
      <w:r>
        <w:rPr>
          <w:rFonts w:hint="eastAsia"/>
          <w:color w:val="auto"/>
          <w:kern w:val="0"/>
          <w:szCs w:val="24"/>
          <w:highlight w:val="none"/>
        </w:rPr>
        <w:t>（四）正在施工的和新承接的项目情况表</w:t>
      </w:r>
      <w:bookmarkEnd w:id="365"/>
      <w:bookmarkEnd w:id="366"/>
      <w:bookmarkEnd w:id="367"/>
      <w:bookmarkEnd w:id="368"/>
      <w:bookmarkEnd w:id="369"/>
      <w:bookmarkEnd w:id="370"/>
      <w:bookmarkEnd w:id="371"/>
      <w:bookmarkEnd w:id="372"/>
      <w:bookmarkEnd w:id="373"/>
    </w:p>
    <w:p w14:paraId="6EF51321">
      <w:pPr>
        <w:rPr>
          <w:rFonts w:hint="eastAsia"/>
          <w:color w:val="auto"/>
          <w:kern w:val="0"/>
          <w:sz w:val="24"/>
          <w:szCs w:val="24"/>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0"/>
        <w:gridCol w:w="6796"/>
      </w:tblGrid>
      <w:tr w14:paraId="2D1C2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5DFCC4E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项目名称</w:t>
            </w:r>
          </w:p>
        </w:tc>
        <w:tc>
          <w:tcPr>
            <w:tcW w:w="6796" w:type="dxa"/>
            <w:noWrap w:val="0"/>
            <w:vAlign w:val="center"/>
          </w:tcPr>
          <w:p w14:paraId="0FE14DD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10159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13200569">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项目所在地</w:t>
            </w:r>
          </w:p>
        </w:tc>
        <w:tc>
          <w:tcPr>
            <w:tcW w:w="6796" w:type="dxa"/>
            <w:noWrap w:val="0"/>
            <w:vAlign w:val="center"/>
          </w:tcPr>
          <w:p w14:paraId="1D349FFE">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06E07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757A9A2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发包人名称</w:t>
            </w:r>
          </w:p>
        </w:tc>
        <w:tc>
          <w:tcPr>
            <w:tcW w:w="6796" w:type="dxa"/>
            <w:noWrap w:val="0"/>
            <w:vAlign w:val="center"/>
          </w:tcPr>
          <w:p w14:paraId="34AA93A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440B9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72A7F46C">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发包人地址</w:t>
            </w:r>
          </w:p>
        </w:tc>
        <w:tc>
          <w:tcPr>
            <w:tcW w:w="6796" w:type="dxa"/>
            <w:noWrap w:val="0"/>
            <w:vAlign w:val="center"/>
          </w:tcPr>
          <w:p w14:paraId="646CA40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5813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4867248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发包人电话</w:t>
            </w:r>
          </w:p>
        </w:tc>
        <w:tc>
          <w:tcPr>
            <w:tcW w:w="6796" w:type="dxa"/>
            <w:noWrap w:val="0"/>
            <w:vAlign w:val="center"/>
          </w:tcPr>
          <w:p w14:paraId="6589C1B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09072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35187D3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签约合同价</w:t>
            </w:r>
          </w:p>
        </w:tc>
        <w:tc>
          <w:tcPr>
            <w:tcW w:w="6796" w:type="dxa"/>
            <w:noWrap w:val="0"/>
            <w:vAlign w:val="center"/>
          </w:tcPr>
          <w:p w14:paraId="3A32726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02F7C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768F768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开工日期</w:t>
            </w:r>
          </w:p>
        </w:tc>
        <w:tc>
          <w:tcPr>
            <w:tcW w:w="6796" w:type="dxa"/>
            <w:noWrap w:val="0"/>
            <w:vAlign w:val="center"/>
          </w:tcPr>
          <w:p w14:paraId="053AAB6C">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19AF1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539F3983">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计划竣工日期</w:t>
            </w:r>
          </w:p>
        </w:tc>
        <w:tc>
          <w:tcPr>
            <w:tcW w:w="6796" w:type="dxa"/>
            <w:noWrap w:val="0"/>
            <w:vAlign w:val="center"/>
          </w:tcPr>
          <w:p w14:paraId="02187CFC">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47011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7B189FF6">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承担的工作</w:t>
            </w:r>
          </w:p>
        </w:tc>
        <w:tc>
          <w:tcPr>
            <w:tcW w:w="6796" w:type="dxa"/>
            <w:noWrap w:val="0"/>
            <w:vAlign w:val="center"/>
          </w:tcPr>
          <w:p w14:paraId="451E525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4E08C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22C104FE">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工程质量</w:t>
            </w:r>
          </w:p>
        </w:tc>
        <w:tc>
          <w:tcPr>
            <w:tcW w:w="6796" w:type="dxa"/>
            <w:noWrap w:val="0"/>
            <w:vAlign w:val="center"/>
          </w:tcPr>
          <w:p w14:paraId="4914CA0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69CA8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32295A41">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项目经理</w:t>
            </w:r>
          </w:p>
        </w:tc>
        <w:tc>
          <w:tcPr>
            <w:tcW w:w="6796" w:type="dxa"/>
            <w:noWrap w:val="0"/>
            <w:vAlign w:val="center"/>
          </w:tcPr>
          <w:p w14:paraId="19F5764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0B172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2E7F1E7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技术负责人</w:t>
            </w:r>
          </w:p>
        </w:tc>
        <w:tc>
          <w:tcPr>
            <w:tcW w:w="6796" w:type="dxa"/>
            <w:noWrap w:val="0"/>
            <w:vAlign w:val="center"/>
          </w:tcPr>
          <w:p w14:paraId="43A88ECA">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4A446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7D5817E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总监理工程师及电话</w:t>
            </w:r>
          </w:p>
        </w:tc>
        <w:tc>
          <w:tcPr>
            <w:tcW w:w="6796" w:type="dxa"/>
            <w:noWrap w:val="0"/>
            <w:vAlign w:val="center"/>
          </w:tcPr>
          <w:p w14:paraId="3879BE7D">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0BFA8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0925C6FA">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项目描述</w:t>
            </w:r>
          </w:p>
        </w:tc>
        <w:tc>
          <w:tcPr>
            <w:tcW w:w="6796" w:type="dxa"/>
            <w:noWrap w:val="0"/>
            <w:vAlign w:val="center"/>
          </w:tcPr>
          <w:p w14:paraId="755D7358">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04B4F8CF">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1CF3E137">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0239D9A4">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21285A5C">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7E9A292B">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p w14:paraId="0012069A">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r w14:paraId="5D2FA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0" w:type="dxa"/>
            <w:noWrap w:val="0"/>
            <w:vAlign w:val="center"/>
          </w:tcPr>
          <w:p w14:paraId="482E55D2">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r>
              <w:rPr>
                <w:rFonts w:hint="eastAsia"/>
                <w:color w:val="auto"/>
                <w:kern w:val="0"/>
                <w:sz w:val="24"/>
                <w:szCs w:val="24"/>
                <w:highlight w:val="none"/>
              </w:rPr>
              <w:t>备注</w:t>
            </w:r>
          </w:p>
        </w:tc>
        <w:tc>
          <w:tcPr>
            <w:tcW w:w="6796" w:type="dxa"/>
            <w:noWrap w:val="0"/>
            <w:vAlign w:val="center"/>
          </w:tcPr>
          <w:p w14:paraId="44F0A595">
            <w:pPr>
              <w:tabs>
                <w:tab w:val="center" w:pos="4153"/>
                <w:tab w:val="right" w:pos="8306"/>
              </w:tabs>
              <w:autoSpaceDE w:val="0"/>
              <w:autoSpaceDN w:val="0"/>
              <w:adjustRightInd w:val="0"/>
              <w:snapToGrid w:val="0"/>
              <w:spacing w:line="520" w:lineRule="exact"/>
              <w:jc w:val="center"/>
              <w:rPr>
                <w:rFonts w:hint="eastAsia"/>
                <w:color w:val="auto"/>
                <w:kern w:val="0"/>
                <w:sz w:val="24"/>
                <w:szCs w:val="24"/>
                <w:highlight w:val="none"/>
              </w:rPr>
            </w:pPr>
          </w:p>
        </w:tc>
      </w:tr>
    </w:tbl>
    <w:p w14:paraId="0DB70375">
      <w:pPr>
        <w:autoSpaceDE w:val="0"/>
        <w:autoSpaceDN w:val="0"/>
        <w:adjustRightInd w:val="0"/>
        <w:spacing w:line="520" w:lineRule="exact"/>
        <w:ind w:firstLine="435"/>
        <w:jc w:val="left"/>
        <w:rPr>
          <w:rFonts w:hint="eastAsia"/>
          <w:color w:val="auto"/>
          <w:kern w:val="0"/>
          <w:sz w:val="24"/>
          <w:szCs w:val="24"/>
          <w:highlight w:val="none"/>
        </w:rPr>
      </w:pPr>
    </w:p>
    <w:p w14:paraId="10931A90">
      <w:pPr>
        <w:pStyle w:val="5"/>
        <w:jc w:val="center"/>
        <w:rPr>
          <w:rFonts w:hint="eastAsia"/>
          <w:color w:val="auto"/>
          <w:highlight w:val="none"/>
        </w:rPr>
      </w:pPr>
      <w:r>
        <w:rPr>
          <w:color w:val="auto"/>
          <w:sz w:val="24"/>
          <w:szCs w:val="24"/>
          <w:highlight w:val="none"/>
        </w:rPr>
        <w:br w:type="page"/>
      </w:r>
      <w:bookmarkStart w:id="374" w:name="_Toc72846722"/>
      <w:bookmarkStart w:id="375" w:name="_Toc61616157"/>
      <w:bookmarkStart w:id="376" w:name="_Toc72846873"/>
      <w:bookmarkStart w:id="377" w:name="_Toc18404993"/>
      <w:r>
        <w:rPr>
          <w:rFonts w:hint="eastAsia"/>
          <w:color w:val="auto"/>
          <w:highlight w:val="none"/>
        </w:rPr>
        <w:t>八、招标文件要求投标人提交的其他资料</w:t>
      </w:r>
      <w:bookmarkEnd w:id="374"/>
      <w:bookmarkEnd w:id="375"/>
      <w:bookmarkEnd w:id="376"/>
      <w:bookmarkEnd w:id="377"/>
    </w:p>
    <w:p w14:paraId="4C381147">
      <w:pPr>
        <w:rPr>
          <w:rFonts w:hint="eastAsia"/>
          <w:color w:val="auto"/>
          <w:highlight w:val="none"/>
        </w:rPr>
      </w:pPr>
    </w:p>
    <w:p w14:paraId="70913435">
      <w:pPr>
        <w:autoSpaceDE w:val="0"/>
        <w:autoSpaceDN w:val="0"/>
        <w:adjustRightInd w:val="0"/>
        <w:spacing w:line="480" w:lineRule="exact"/>
        <w:ind w:firstLine="562" w:firstLineChars="200"/>
        <w:jc w:val="center"/>
        <w:rPr>
          <w:rFonts w:hint="eastAsia"/>
          <w:b/>
          <w:color w:val="auto"/>
          <w:sz w:val="28"/>
          <w:szCs w:val="28"/>
          <w:highlight w:val="none"/>
        </w:rPr>
      </w:pPr>
      <w:r>
        <w:rPr>
          <w:rFonts w:hint="eastAsia"/>
          <w:b/>
          <w:color w:val="auto"/>
          <w:sz w:val="28"/>
          <w:szCs w:val="28"/>
          <w:highlight w:val="none"/>
        </w:rPr>
        <w:t>1. 对保证不拖欠民工工资承诺书</w:t>
      </w:r>
    </w:p>
    <w:p w14:paraId="60DF24B9">
      <w:pPr>
        <w:autoSpaceDE w:val="0"/>
        <w:autoSpaceDN w:val="0"/>
        <w:adjustRightInd w:val="0"/>
        <w:spacing w:line="480" w:lineRule="exact"/>
        <w:ind w:firstLine="0" w:firstLineChars="0"/>
        <w:jc w:val="left"/>
        <w:rPr>
          <w:color w:val="auto"/>
          <w:highlight w:val="none"/>
        </w:rPr>
      </w:pPr>
    </w:p>
    <w:p w14:paraId="3E0280C0">
      <w:pPr>
        <w:autoSpaceDE w:val="0"/>
        <w:autoSpaceDN w:val="0"/>
        <w:adjustRightInd w:val="0"/>
        <w:spacing w:line="360" w:lineRule="auto"/>
        <w:jc w:val="left"/>
        <w:rPr>
          <w:rFonts w:hint="eastAsia"/>
          <w:color w:val="auto"/>
          <w:sz w:val="24"/>
          <w:szCs w:val="24"/>
          <w:highlight w:val="none"/>
        </w:rPr>
      </w:pPr>
      <w:r>
        <w:rPr>
          <w:rFonts w:hint="eastAsia"/>
          <w:color w:val="auto"/>
          <w:sz w:val="24"/>
          <w:szCs w:val="24"/>
          <w:highlight w:val="none"/>
          <w:lang w:eastAsia="zh-CN"/>
        </w:rPr>
        <w:t>浙江巨化化工矿业有限公司后塘弄尾矿库闭库及恢复林业生产条件和森林覆盖项目</w:t>
      </w:r>
      <w:r>
        <w:rPr>
          <w:rFonts w:hint="eastAsia"/>
          <w:color w:val="auto"/>
          <w:sz w:val="24"/>
          <w:szCs w:val="24"/>
          <w:highlight w:val="none"/>
        </w:rPr>
        <w:t>：</w:t>
      </w:r>
    </w:p>
    <w:p w14:paraId="34A69BA3">
      <w:pPr>
        <w:autoSpaceDE w:val="0"/>
        <w:autoSpaceDN w:val="0"/>
        <w:adjustRightInd w:val="0"/>
        <w:spacing w:line="360" w:lineRule="auto"/>
        <w:ind w:firstLine="480" w:firstLineChars="200"/>
        <w:jc w:val="left"/>
        <w:rPr>
          <w:rFonts w:hint="eastAsia"/>
          <w:color w:val="auto"/>
          <w:sz w:val="24"/>
          <w:szCs w:val="24"/>
          <w:highlight w:val="none"/>
        </w:rPr>
      </w:pPr>
      <w:r>
        <w:rPr>
          <w:rFonts w:hint="eastAsia"/>
          <w:color w:val="auto"/>
          <w:sz w:val="24"/>
          <w:szCs w:val="24"/>
          <w:highlight w:val="none"/>
        </w:rPr>
        <w:t>如果我们的投标被接受，我们保证将按国家的有关规定制订保证民工工资支付的方案及保证措施，并在资金使用计划表中按月单列需支付的民工工资计划，并保证发包人不因任何由于我方在发放民工工资事宜上而受到任何处罚、诉讼和罚款。否则，将无条件接受合同条款的处罚，直至被清退出场，并为此负法律责任。</w:t>
      </w:r>
    </w:p>
    <w:p w14:paraId="127048FB">
      <w:pPr>
        <w:autoSpaceDE w:val="0"/>
        <w:autoSpaceDN w:val="0"/>
        <w:adjustRightInd w:val="0"/>
        <w:spacing w:line="360" w:lineRule="auto"/>
        <w:ind w:firstLine="480" w:firstLineChars="200"/>
        <w:jc w:val="left"/>
        <w:rPr>
          <w:color w:val="auto"/>
          <w:sz w:val="24"/>
          <w:szCs w:val="24"/>
          <w:highlight w:val="none"/>
        </w:rPr>
      </w:pPr>
    </w:p>
    <w:p w14:paraId="00460D29">
      <w:pPr>
        <w:autoSpaceDE w:val="0"/>
        <w:autoSpaceDN w:val="0"/>
        <w:adjustRightInd w:val="0"/>
        <w:spacing w:line="360" w:lineRule="auto"/>
        <w:jc w:val="left"/>
        <w:rPr>
          <w:rFonts w:hint="eastAsia"/>
          <w:color w:val="auto"/>
          <w:sz w:val="24"/>
          <w:szCs w:val="24"/>
          <w:highlight w:val="none"/>
        </w:rPr>
      </w:pPr>
      <w:r>
        <w:rPr>
          <w:rFonts w:hint="eastAsia"/>
          <w:color w:val="auto"/>
          <w:sz w:val="24"/>
          <w:szCs w:val="24"/>
          <w:highlight w:val="none"/>
        </w:rPr>
        <w:t>投标人：</w:t>
      </w:r>
      <w:r>
        <w:rPr>
          <w:rFonts w:hAnsi="宋体"/>
          <w:color w:val="auto"/>
          <w:sz w:val="24"/>
          <w:szCs w:val="24"/>
          <w:highlight w:val="none"/>
          <w:u w:val="single"/>
        </w:rPr>
        <w:t xml:space="preserve">                             </w:t>
      </w:r>
      <w:r>
        <w:rPr>
          <w:rFonts w:hint="eastAsia"/>
          <w:color w:val="auto"/>
          <w:sz w:val="24"/>
          <w:szCs w:val="24"/>
          <w:highlight w:val="none"/>
        </w:rPr>
        <w:t>（盖单位章）</w:t>
      </w:r>
    </w:p>
    <w:p w14:paraId="5BBCF128">
      <w:pPr>
        <w:autoSpaceDE w:val="0"/>
        <w:autoSpaceDN w:val="0"/>
        <w:adjustRightInd w:val="0"/>
        <w:spacing w:line="360" w:lineRule="auto"/>
        <w:jc w:val="left"/>
        <w:rPr>
          <w:rFonts w:hint="eastAsia"/>
          <w:color w:val="auto"/>
          <w:sz w:val="24"/>
          <w:szCs w:val="24"/>
          <w:highlight w:val="none"/>
        </w:rPr>
      </w:pPr>
      <w:r>
        <w:rPr>
          <w:rFonts w:hint="eastAsia"/>
          <w:color w:val="auto"/>
          <w:sz w:val="24"/>
          <w:szCs w:val="24"/>
          <w:highlight w:val="none"/>
        </w:rPr>
        <w:t>法定代表人或其委托代理人：</w:t>
      </w:r>
      <w:r>
        <w:rPr>
          <w:rFonts w:hAnsi="宋体"/>
          <w:color w:val="auto"/>
          <w:sz w:val="24"/>
          <w:szCs w:val="24"/>
          <w:highlight w:val="none"/>
          <w:u w:val="single"/>
        </w:rPr>
        <w:t xml:space="preserve">           </w:t>
      </w:r>
      <w:r>
        <w:rPr>
          <w:rFonts w:hint="eastAsia"/>
          <w:color w:val="auto"/>
          <w:sz w:val="24"/>
          <w:szCs w:val="24"/>
          <w:highlight w:val="none"/>
        </w:rPr>
        <w:t>（签字或盖章）</w:t>
      </w:r>
    </w:p>
    <w:p w14:paraId="72D82DE7">
      <w:pPr>
        <w:autoSpaceDE w:val="0"/>
        <w:autoSpaceDN w:val="0"/>
        <w:adjustRightInd w:val="0"/>
        <w:spacing w:line="480" w:lineRule="exact"/>
        <w:ind w:firstLine="480" w:firstLineChars="200"/>
        <w:jc w:val="right"/>
        <w:rPr>
          <w:rFonts w:hint="eastAsia"/>
          <w:color w:val="auto"/>
          <w:sz w:val="24"/>
          <w:szCs w:val="24"/>
          <w:highlight w:val="none"/>
        </w:rPr>
      </w:pPr>
      <w:r>
        <w:rPr>
          <w:rFonts w:hint="eastAsia"/>
          <w:color w:val="auto"/>
          <w:sz w:val="24"/>
          <w:szCs w:val="24"/>
          <w:highlight w:val="none"/>
        </w:rPr>
        <w:t xml:space="preserve">             </w:t>
      </w:r>
    </w:p>
    <w:p w14:paraId="7C6C579C">
      <w:pPr>
        <w:autoSpaceDE w:val="0"/>
        <w:autoSpaceDN w:val="0"/>
        <w:adjustRightInd w:val="0"/>
        <w:spacing w:line="480" w:lineRule="exact"/>
        <w:ind w:firstLine="480" w:firstLineChars="200"/>
        <w:jc w:val="right"/>
        <w:rPr>
          <w:color w:val="auto"/>
          <w:sz w:val="24"/>
          <w:szCs w:val="24"/>
          <w:highlight w:val="none"/>
        </w:rPr>
      </w:pPr>
      <w:r>
        <w:rPr>
          <w:rFonts w:hint="eastAsia"/>
          <w:color w:val="auto"/>
          <w:sz w:val="24"/>
          <w:szCs w:val="24"/>
          <w:highlight w:val="none"/>
        </w:rPr>
        <w:t>年        月        日</w:t>
      </w:r>
    </w:p>
    <w:p w14:paraId="3EFB8B95">
      <w:pPr>
        <w:ind w:right="-210" w:rightChars="-100"/>
        <w:rPr>
          <w:rFonts w:hint="eastAsia"/>
          <w:color w:val="auto"/>
          <w:highlight w:val="none"/>
        </w:rPr>
      </w:pPr>
      <w:r>
        <w:rPr>
          <w:rFonts w:hint="eastAsia"/>
          <w:color w:val="auto"/>
          <w:highlight w:val="none"/>
        </w:rPr>
        <w:t>------------------------------------------------------------------------------------------------------------------------------------------</w:t>
      </w:r>
    </w:p>
    <w:p w14:paraId="3847553D">
      <w:pPr>
        <w:autoSpaceDE w:val="0"/>
        <w:autoSpaceDN w:val="0"/>
        <w:adjustRightInd w:val="0"/>
        <w:spacing w:before="156" w:beforeLines="50" w:line="480" w:lineRule="exact"/>
        <w:ind w:firstLine="562" w:firstLineChars="200"/>
        <w:jc w:val="center"/>
        <w:rPr>
          <w:rFonts w:hint="eastAsia"/>
          <w:b/>
          <w:color w:val="auto"/>
          <w:sz w:val="28"/>
          <w:szCs w:val="28"/>
          <w:highlight w:val="none"/>
        </w:rPr>
      </w:pPr>
      <w:r>
        <w:rPr>
          <w:rFonts w:hint="eastAsia"/>
          <w:b/>
          <w:color w:val="auto"/>
          <w:sz w:val="28"/>
          <w:szCs w:val="28"/>
          <w:highlight w:val="none"/>
        </w:rPr>
        <w:t>2. 对文明施工管理承诺书</w:t>
      </w:r>
    </w:p>
    <w:p w14:paraId="339A28D1">
      <w:pPr>
        <w:rPr>
          <w:rFonts w:hint="eastAsia" w:hAnsi="宋体"/>
          <w:color w:val="auto"/>
          <w:highlight w:val="none"/>
        </w:rPr>
      </w:pPr>
    </w:p>
    <w:p w14:paraId="22523976">
      <w:pPr>
        <w:autoSpaceDE w:val="0"/>
        <w:autoSpaceDN w:val="0"/>
        <w:adjustRightInd w:val="0"/>
        <w:spacing w:line="360" w:lineRule="auto"/>
        <w:jc w:val="left"/>
        <w:rPr>
          <w:rFonts w:hint="eastAsia" w:hAnsi="宋体"/>
          <w:color w:val="auto"/>
          <w:sz w:val="24"/>
          <w:szCs w:val="24"/>
          <w:highlight w:val="none"/>
        </w:rPr>
      </w:pPr>
      <w:r>
        <w:rPr>
          <w:rFonts w:hint="eastAsia"/>
          <w:color w:val="auto"/>
          <w:sz w:val="24"/>
          <w:szCs w:val="24"/>
          <w:highlight w:val="none"/>
          <w:lang w:eastAsia="zh-CN"/>
        </w:rPr>
        <w:t>浙江巨化化工矿业有限公司后塘弄尾矿库闭库及恢复林业生产条件和森林覆盖项目</w:t>
      </w:r>
      <w:r>
        <w:rPr>
          <w:rFonts w:hint="eastAsia"/>
          <w:color w:val="auto"/>
          <w:sz w:val="24"/>
          <w:szCs w:val="24"/>
          <w:highlight w:val="none"/>
        </w:rPr>
        <w:t>：</w:t>
      </w:r>
    </w:p>
    <w:p w14:paraId="30D91529">
      <w:pPr>
        <w:spacing w:line="360" w:lineRule="auto"/>
        <w:ind w:firstLine="420"/>
        <w:rPr>
          <w:rFonts w:hint="eastAsia" w:hAnsi="宋体"/>
          <w:color w:val="auto"/>
          <w:sz w:val="24"/>
          <w:szCs w:val="24"/>
          <w:highlight w:val="none"/>
        </w:rPr>
      </w:pPr>
      <w:r>
        <w:rPr>
          <w:rFonts w:hint="eastAsia" w:hAnsi="宋体"/>
          <w:color w:val="auto"/>
          <w:sz w:val="24"/>
          <w:szCs w:val="24"/>
          <w:highlight w:val="none"/>
        </w:rPr>
        <w:t>如果我们的投标被接受，我们保证按浙江省有关文件及本投标文件文明施工管理方案中的要求进行文明施工管理。否则，将无条件接受合同条款的处罚，直至被清退出场，并为此承担相应的法律责任。</w:t>
      </w:r>
    </w:p>
    <w:p w14:paraId="6A3EA8BE">
      <w:pPr>
        <w:rPr>
          <w:rFonts w:hint="eastAsia" w:hAnsi="宋体"/>
          <w:color w:val="auto"/>
          <w:sz w:val="24"/>
          <w:szCs w:val="24"/>
          <w:highlight w:val="none"/>
        </w:rPr>
      </w:pPr>
    </w:p>
    <w:p w14:paraId="295CEF21">
      <w:pPr>
        <w:rPr>
          <w:rFonts w:hint="eastAsia" w:hAnsi="宋体"/>
          <w:color w:val="auto"/>
          <w:sz w:val="24"/>
          <w:szCs w:val="24"/>
          <w:highlight w:val="none"/>
        </w:rPr>
      </w:pPr>
    </w:p>
    <w:p w14:paraId="78158887">
      <w:pPr>
        <w:pStyle w:val="34"/>
        <w:spacing w:after="120" w:line="360" w:lineRule="auto"/>
        <w:rPr>
          <w:rFonts w:hint="eastAsia" w:hAnsi="宋体"/>
          <w:color w:val="auto"/>
          <w:highlight w:val="none"/>
        </w:rPr>
      </w:pPr>
      <w:r>
        <w:rPr>
          <w:rFonts w:hint="eastAsia" w:hAnsi="宋体"/>
          <w:color w:val="auto"/>
          <w:highlight w:val="none"/>
        </w:rPr>
        <w:t>投标人：</w:t>
      </w:r>
      <w:r>
        <w:rPr>
          <w:rFonts w:hAnsi="宋体"/>
          <w:color w:val="auto"/>
          <w:highlight w:val="none"/>
          <w:u w:val="single"/>
        </w:rPr>
        <w:t xml:space="preserve">                             </w:t>
      </w:r>
      <w:r>
        <w:rPr>
          <w:rFonts w:hint="eastAsia" w:hAnsi="宋体"/>
          <w:color w:val="auto"/>
          <w:highlight w:val="none"/>
        </w:rPr>
        <w:t>（盖单位章）</w:t>
      </w:r>
    </w:p>
    <w:p w14:paraId="2177661D">
      <w:pPr>
        <w:pStyle w:val="34"/>
        <w:spacing w:line="360" w:lineRule="auto"/>
        <w:rPr>
          <w:rFonts w:hint="eastAsia" w:hAnsi="宋体"/>
          <w:color w:val="auto"/>
          <w:highlight w:val="none"/>
        </w:rPr>
      </w:pPr>
      <w:r>
        <w:rPr>
          <w:rFonts w:hint="eastAsia" w:hAnsi="宋体"/>
          <w:color w:val="auto"/>
          <w:highlight w:val="none"/>
        </w:rPr>
        <w:t>法定代表人或其委托代理人：</w:t>
      </w:r>
      <w:r>
        <w:rPr>
          <w:rFonts w:hAnsi="宋体"/>
          <w:color w:val="auto"/>
          <w:highlight w:val="none"/>
          <w:u w:val="single"/>
        </w:rPr>
        <w:t xml:space="preserve">           </w:t>
      </w:r>
      <w:r>
        <w:rPr>
          <w:rFonts w:hint="eastAsia" w:hAnsi="宋体"/>
          <w:color w:val="auto"/>
          <w:highlight w:val="none"/>
        </w:rPr>
        <w:t>（</w:t>
      </w:r>
      <w:r>
        <w:rPr>
          <w:rFonts w:hint="eastAsia"/>
          <w:color w:val="auto"/>
          <w:highlight w:val="none"/>
        </w:rPr>
        <w:t>签字或盖章</w:t>
      </w:r>
      <w:r>
        <w:rPr>
          <w:rFonts w:hint="eastAsia" w:hAnsi="宋体"/>
          <w:color w:val="auto"/>
          <w:highlight w:val="none"/>
        </w:rPr>
        <w:t>）</w:t>
      </w:r>
    </w:p>
    <w:p w14:paraId="4D70935C">
      <w:pPr>
        <w:pStyle w:val="34"/>
        <w:spacing w:line="360" w:lineRule="auto"/>
        <w:ind w:left="3257" w:leftChars="1551" w:firstLine="2"/>
        <w:jc w:val="right"/>
        <w:rPr>
          <w:rFonts w:hAnsi="宋体"/>
          <w:color w:val="auto"/>
          <w:highlight w:val="none"/>
        </w:rPr>
      </w:pPr>
      <w:r>
        <w:rPr>
          <w:rFonts w:hAnsi="宋体"/>
          <w:color w:val="auto"/>
          <w:highlight w:val="none"/>
          <w:u w:val="single"/>
        </w:rPr>
        <w:t xml:space="preserve">       </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olor w:val="auto"/>
          <w:highlight w:val="none"/>
        </w:rPr>
        <w:t>年</w:t>
      </w:r>
      <w:r>
        <w:rPr>
          <w:rFonts w:hAnsi="宋体"/>
          <w:color w:val="auto"/>
          <w:highlight w:val="none"/>
          <w:u w:val="single"/>
        </w:rPr>
        <w:t xml:space="preserve">        </w:t>
      </w:r>
      <w:r>
        <w:rPr>
          <w:rFonts w:hint="eastAsia" w:hAnsi="宋体"/>
          <w:color w:val="auto"/>
          <w:highlight w:val="none"/>
        </w:rPr>
        <w:t>月</w:t>
      </w:r>
      <w:r>
        <w:rPr>
          <w:rFonts w:hAnsi="宋体"/>
          <w:color w:val="auto"/>
          <w:highlight w:val="none"/>
        </w:rPr>
        <w:t xml:space="preserve"> </w:t>
      </w:r>
      <w:r>
        <w:rPr>
          <w:rFonts w:hAnsi="宋体"/>
          <w:color w:val="auto"/>
          <w:highlight w:val="none"/>
          <w:u w:val="single"/>
        </w:rPr>
        <w:t xml:space="preserve">       </w:t>
      </w:r>
      <w:r>
        <w:rPr>
          <w:rFonts w:hint="eastAsia" w:hAnsi="宋体"/>
          <w:color w:val="auto"/>
          <w:highlight w:val="none"/>
        </w:rPr>
        <w:t>日</w:t>
      </w:r>
      <w:r>
        <w:rPr>
          <w:rFonts w:hAnsi="宋体"/>
          <w:color w:val="auto"/>
          <w:highlight w:val="none"/>
        </w:rPr>
        <w:t xml:space="preserve"> </w:t>
      </w:r>
    </w:p>
    <w:p w14:paraId="1E4564CC">
      <w:pPr>
        <w:rPr>
          <w:rFonts w:hint="eastAsia"/>
          <w:color w:val="auto"/>
          <w:sz w:val="24"/>
          <w:szCs w:val="24"/>
          <w:highlight w:val="none"/>
        </w:rPr>
      </w:pPr>
    </w:p>
    <w:p w14:paraId="7B552257">
      <w:pPr>
        <w:autoSpaceDE w:val="0"/>
        <w:autoSpaceDN w:val="0"/>
        <w:adjustRightInd w:val="0"/>
        <w:spacing w:line="480" w:lineRule="exact"/>
        <w:ind w:firstLine="562" w:firstLineChars="200"/>
        <w:jc w:val="center"/>
        <w:rPr>
          <w:rFonts w:hint="eastAsia"/>
          <w:b/>
          <w:color w:val="auto"/>
          <w:sz w:val="28"/>
          <w:szCs w:val="28"/>
          <w:highlight w:val="none"/>
        </w:rPr>
      </w:pPr>
      <w:r>
        <w:rPr>
          <w:rFonts w:hint="eastAsia"/>
          <w:b/>
          <w:color w:val="auto"/>
          <w:sz w:val="28"/>
          <w:szCs w:val="28"/>
          <w:highlight w:val="none"/>
        </w:rPr>
        <w:t>3. 现场条件充分了解承诺书</w:t>
      </w:r>
    </w:p>
    <w:p w14:paraId="3415C7A2">
      <w:pPr>
        <w:rPr>
          <w:rFonts w:hint="eastAsia" w:hAnsi="宋体"/>
          <w:color w:val="auto"/>
          <w:highlight w:val="none"/>
        </w:rPr>
      </w:pPr>
    </w:p>
    <w:p w14:paraId="2A988010">
      <w:pPr>
        <w:autoSpaceDE w:val="0"/>
        <w:autoSpaceDN w:val="0"/>
        <w:adjustRightInd w:val="0"/>
        <w:spacing w:line="360" w:lineRule="auto"/>
        <w:jc w:val="left"/>
        <w:rPr>
          <w:rFonts w:hint="eastAsia" w:hAnsi="宋体"/>
          <w:color w:val="auto"/>
          <w:sz w:val="24"/>
          <w:szCs w:val="24"/>
          <w:highlight w:val="none"/>
        </w:rPr>
      </w:pPr>
      <w:r>
        <w:rPr>
          <w:rFonts w:hint="eastAsia"/>
          <w:color w:val="auto"/>
          <w:sz w:val="24"/>
          <w:szCs w:val="24"/>
          <w:highlight w:val="none"/>
          <w:lang w:eastAsia="zh-CN"/>
        </w:rPr>
        <w:t>浙江巨化化工矿业有限公司后塘弄尾矿库闭库及恢复林业生产条件和森林覆盖项目</w:t>
      </w:r>
      <w:r>
        <w:rPr>
          <w:rFonts w:hint="eastAsia"/>
          <w:color w:val="auto"/>
          <w:sz w:val="24"/>
          <w:szCs w:val="24"/>
          <w:highlight w:val="none"/>
        </w:rPr>
        <w:t>：</w:t>
      </w:r>
    </w:p>
    <w:p w14:paraId="47179AB4">
      <w:pPr>
        <w:spacing w:line="360" w:lineRule="auto"/>
        <w:ind w:firstLine="420"/>
        <w:rPr>
          <w:rFonts w:hint="eastAsia" w:hAnsi="宋体"/>
          <w:color w:val="auto"/>
          <w:sz w:val="24"/>
          <w:szCs w:val="24"/>
          <w:highlight w:val="none"/>
        </w:rPr>
      </w:pPr>
      <w:r>
        <w:rPr>
          <w:rFonts w:hint="eastAsia" w:hAnsi="宋体"/>
          <w:color w:val="auto"/>
          <w:sz w:val="24"/>
          <w:szCs w:val="24"/>
          <w:highlight w:val="none"/>
        </w:rPr>
        <w:t>我司已按投标人须知的要求完成了踏勘现场的工作，并充分了解现场条件。如若中标，我司理解招标人向投标人提供的有关现场的数据和资料，是招标人现有的能被投标人利用的资料。招标人对投标人做出的任何推论、理解和结论均不负责任。我司承诺不会因任何现场条件的阻碍而向招标人索赔工期或费用，并保证不因任何现场条件的阻碍而影响投标承诺的竣工日期。</w:t>
      </w:r>
    </w:p>
    <w:p w14:paraId="391AC972">
      <w:pPr>
        <w:ind w:firstLine="420"/>
        <w:rPr>
          <w:rFonts w:hint="eastAsia" w:hAnsi="宋体"/>
          <w:color w:val="auto"/>
          <w:sz w:val="24"/>
          <w:szCs w:val="24"/>
          <w:highlight w:val="none"/>
        </w:rPr>
      </w:pPr>
    </w:p>
    <w:p w14:paraId="3972E375">
      <w:pPr>
        <w:ind w:firstLine="420"/>
        <w:rPr>
          <w:rFonts w:hint="eastAsia" w:hAnsi="宋体"/>
          <w:color w:val="auto"/>
          <w:sz w:val="24"/>
          <w:szCs w:val="24"/>
          <w:highlight w:val="none"/>
        </w:rPr>
      </w:pPr>
    </w:p>
    <w:p w14:paraId="10890D0E">
      <w:pPr>
        <w:pStyle w:val="34"/>
        <w:spacing w:line="360" w:lineRule="auto"/>
        <w:ind w:left="0" w:leftChars="0" w:firstLine="0"/>
        <w:jc w:val="center"/>
        <w:rPr>
          <w:rFonts w:hint="eastAsia" w:hAnsi="宋体"/>
          <w:color w:val="auto"/>
          <w:highlight w:val="none"/>
        </w:rPr>
      </w:pPr>
      <w:r>
        <w:rPr>
          <w:rFonts w:hint="eastAsia" w:hAnsi="宋体"/>
          <w:color w:val="auto"/>
          <w:highlight w:val="none"/>
          <w:lang w:val="en-US" w:eastAsia="zh-CN"/>
        </w:rPr>
        <w:t xml:space="preserve">                      </w:t>
      </w:r>
      <w:r>
        <w:rPr>
          <w:rFonts w:hint="eastAsia" w:hAnsi="宋体"/>
          <w:color w:val="auto"/>
          <w:highlight w:val="none"/>
        </w:rPr>
        <w:t>投标人：</w:t>
      </w:r>
      <w:r>
        <w:rPr>
          <w:rFonts w:hAnsi="宋体"/>
          <w:color w:val="auto"/>
          <w:highlight w:val="none"/>
          <w:u w:val="single"/>
        </w:rPr>
        <w:t xml:space="preserve">                             </w:t>
      </w:r>
      <w:r>
        <w:rPr>
          <w:rFonts w:hint="eastAsia" w:hAnsi="宋体"/>
          <w:color w:val="auto"/>
          <w:highlight w:val="none"/>
        </w:rPr>
        <w:t>（盖单位章）</w:t>
      </w:r>
    </w:p>
    <w:p w14:paraId="5B990E58">
      <w:pPr>
        <w:pStyle w:val="34"/>
        <w:spacing w:line="360" w:lineRule="auto"/>
        <w:ind w:left="0" w:leftChars="0" w:firstLine="0"/>
        <w:jc w:val="right"/>
        <w:rPr>
          <w:rFonts w:hint="eastAsia" w:hAnsi="宋体"/>
          <w:color w:val="auto"/>
          <w:highlight w:val="none"/>
        </w:rPr>
      </w:pPr>
      <w:r>
        <w:rPr>
          <w:rFonts w:hint="eastAsia" w:hAnsi="宋体"/>
          <w:color w:val="auto"/>
          <w:highlight w:val="none"/>
        </w:rPr>
        <w:t>法定代表人或其委托代理人：</w:t>
      </w:r>
      <w:r>
        <w:rPr>
          <w:rFonts w:hAnsi="宋体"/>
          <w:color w:val="auto"/>
          <w:highlight w:val="none"/>
          <w:u w:val="single"/>
        </w:rPr>
        <w:t xml:space="preserve">          </w:t>
      </w:r>
      <w:r>
        <w:rPr>
          <w:rFonts w:hint="eastAsia" w:hAnsi="宋体"/>
          <w:color w:val="auto"/>
          <w:highlight w:val="none"/>
        </w:rPr>
        <w:t>（签字或盖章）</w:t>
      </w:r>
    </w:p>
    <w:p w14:paraId="79A44AB6">
      <w:pPr>
        <w:pStyle w:val="34"/>
        <w:spacing w:line="360" w:lineRule="auto"/>
        <w:ind w:left="3257" w:leftChars="1551" w:firstLine="2"/>
        <w:rPr>
          <w:rFonts w:hint="eastAsia" w:hAnsi="宋体"/>
          <w:color w:val="auto"/>
          <w:highlight w:val="none"/>
        </w:rPr>
      </w:pPr>
      <w:r>
        <w:rPr>
          <w:rFonts w:hAnsi="宋体"/>
          <w:color w:val="auto"/>
          <w:highlight w:val="none"/>
          <w:u w:val="single"/>
        </w:rPr>
        <w:t xml:space="preserve">       </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olor w:val="auto"/>
          <w:highlight w:val="none"/>
        </w:rPr>
        <w:t>年</w:t>
      </w:r>
      <w:r>
        <w:rPr>
          <w:rFonts w:hAnsi="宋体"/>
          <w:color w:val="auto"/>
          <w:highlight w:val="none"/>
          <w:u w:val="single"/>
        </w:rPr>
        <w:t xml:space="preserve">        </w:t>
      </w:r>
      <w:r>
        <w:rPr>
          <w:rFonts w:hint="eastAsia" w:hAnsi="宋体"/>
          <w:color w:val="auto"/>
          <w:highlight w:val="none"/>
        </w:rPr>
        <w:t>月</w:t>
      </w:r>
      <w:r>
        <w:rPr>
          <w:rFonts w:hAnsi="宋体"/>
          <w:color w:val="auto"/>
          <w:highlight w:val="none"/>
        </w:rPr>
        <w:t xml:space="preserve"> </w:t>
      </w:r>
      <w:r>
        <w:rPr>
          <w:rFonts w:hAnsi="宋体"/>
          <w:color w:val="auto"/>
          <w:highlight w:val="none"/>
          <w:u w:val="single"/>
        </w:rPr>
        <w:t xml:space="preserve">       </w:t>
      </w:r>
      <w:r>
        <w:rPr>
          <w:rFonts w:hint="eastAsia" w:hAnsi="宋体"/>
          <w:color w:val="auto"/>
          <w:highlight w:val="none"/>
        </w:rPr>
        <w:t>日</w:t>
      </w:r>
      <w:r>
        <w:rPr>
          <w:rFonts w:hAnsi="宋体"/>
          <w:color w:val="auto"/>
          <w:highlight w:val="none"/>
        </w:rPr>
        <w:t xml:space="preserve"> </w:t>
      </w:r>
    </w:p>
    <w:p w14:paraId="486FBA06">
      <w:pPr>
        <w:ind w:right="-210" w:rightChars="-100"/>
        <w:rPr>
          <w:rFonts w:hint="eastAsia"/>
          <w:color w:val="auto"/>
          <w:highlight w:val="none"/>
        </w:rPr>
      </w:pPr>
      <w:r>
        <w:rPr>
          <w:rFonts w:hint="eastAsia"/>
          <w:color w:val="auto"/>
          <w:highlight w:val="none"/>
        </w:rPr>
        <w:t>------------------------------------------------------------------------------------------------------------------------------------------</w:t>
      </w:r>
    </w:p>
    <w:p w14:paraId="53AB149B">
      <w:pPr>
        <w:rPr>
          <w:rFonts w:hint="eastAsia"/>
          <w:color w:val="auto"/>
          <w:highlight w:val="none"/>
        </w:rPr>
      </w:pPr>
    </w:p>
    <w:p w14:paraId="3A988AA1">
      <w:pPr>
        <w:autoSpaceDE w:val="0"/>
        <w:autoSpaceDN w:val="0"/>
        <w:adjustRightInd w:val="0"/>
        <w:spacing w:before="156" w:beforeLines="50" w:line="480" w:lineRule="exact"/>
        <w:jc w:val="center"/>
        <w:rPr>
          <w:rFonts w:hint="eastAsia"/>
          <w:b/>
          <w:color w:val="auto"/>
          <w:sz w:val="28"/>
          <w:szCs w:val="28"/>
          <w:highlight w:val="none"/>
        </w:rPr>
      </w:pPr>
      <w:r>
        <w:rPr>
          <w:rFonts w:hint="eastAsia"/>
          <w:b/>
          <w:color w:val="auto"/>
          <w:sz w:val="28"/>
          <w:szCs w:val="28"/>
          <w:highlight w:val="none"/>
        </w:rPr>
        <w:t>4. 投标人质量事故记录</w:t>
      </w:r>
    </w:p>
    <w:p w14:paraId="5553C180">
      <w:pPr>
        <w:rPr>
          <w:rFonts w:hint="eastAsia"/>
          <w:color w:val="auto"/>
          <w:highlight w:val="none"/>
        </w:rPr>
      </w:pPr>
    </w:p>
    <w:p w14:paraId="431CE308">
      <w:pPr>
        <w:spacing w:line="400" w:lineRule="exact"/>
        <w:ind w:firstLine="480" w:firstLineChars="200"/>
        <w:jc w:val="left"/>
        <w:rPr>
          <w:rFonts w:hint="eastAsia"/>
          <w:b/>
          <w:color w:val="auto"/>
          <w:sz w:val="24"/>
          <w:szCs w:val="24"/>
          <w:highlight w:val="none"/>
        </w:rPr>
      </w:pPr>
      <w:r>
        <w:rPr>
          <w:rFonts w:hint="eastAsia"/>
          <w:color w:val="auto"/>
          <w:sz w:val="24"/>
          <w:szCs w:val="24"/>
          <w:highlight w:val="none"/>
        </w:rPr>
        <w:t>投标人2020年1月1日以来发生重大质量事故，受国家、省、州（市）建设行政主管部门通报或处罚的记录。</w:t>
      </w:r>
      <w:r>
        <w:rPr>
          <w:rFonts w:hint="eastAsia"/>
          <w:b/>
          <w:color w:val="auto"/>
          <w:sz w:val="24"/>
          <w:szCs w:val="24"/>
          <w:highlight w:val="none"/>
        </w:rPr>
        <w:t>投标人应如实填报，如无不良记录应作出相关承诺。</w:t>
      </w:r>
    </w:p>
    <w:p w14:paraId="0FBD80FA">
      <w:pPr>
        <w:pStyle w:val="34"/>
        <w:autoSpaceDE/>
        <w:autoSpaceDN/>
        <w:spacing w:after="0" w:line="360" w:lineRule="auto"/>
        <w:ind w:left="0" w:leftChars="0" w:firstLine="0"/>
        <w:rPr>
          <w:rFonts w:hint="eastAsia" w:hAnsi="宋体"/>
          <w:color w:val="auto"/>
          <w:highlight w:val="none"/>
        </w:rPr>
      </w:pPr>
    </w:p>
    <w:p w14:paraId="34780D4E">
      <w:pPr>
        <w:pStyle w:val="34"/>
        <w:spacing w:line="360" w:lineRule="auto"/>
        <w:ind w:firstLine="2880" w:firstLineChars="1200"/>
        <w:rPr>
          <w:rFonts w:hint="eastAsia" w:hAnsi="宋体"/>
          <w:color w:val="auto"/>
          <w:highlight w:val="none"/>
        </w:rPr>
      </w:pPr>
      <w:r>
        <w:rPr>
          <w:rFonts w:hint="eastAsia" w:hAnsi="宋体"/>
          <w:color w:val="auto"/>
          <w:highlight w:val="none"/>
        </w:rPr>
        <w:t>投标人：</w:t>
      </w:r>
      <w:r>
        <w:rPr>
          <w:rFonts w:hAnsi="宋体"/>
          <w:color w:val="auto"/>
          <w:highlight w:val="none"/>
          <w:u w:val="single"/>
        </w:rPr>
        <w:t xml:space="preserve">                             </w:t>
      </w:r>
      <w:r>
        <w:rPr>
          <w:rFonts w:hint="eastAsia" w:hAnsi="宋体"/>
          <w:color w:val="auto"/>
          <w:highlight w:val="none"/>
        </w:rPr>
        <w:t>（盖单位章）</w:t>
      </w:r>
    </w:p>
    <w:p w14:paraId="7302610E">
      <w:pPr>
        <w:pStyle w:val="34"/>
        <w:spacing w:line="360" w:lineRule="auto"/>
        <w:ind w:left="0" w:leftChars="0" w:firstLine="0"/>
        <w:jc w:val="right"/>
        <w:rPr>
          <w:rFonts w:hint="eastAsia" w:hAnsi="宋体"/>
          <w:color w:val="auto"/>
          <w:highlight w:val="none"/>
        </w:rPr>
      </w:pPr>
      <w:r>
        <w:rPr>
          <w:rFonts w:hint="eastAsia" w:hAnsi="宋体"/>
          <w:color w:val="auto"/>
          <w:highlight w:val="none"/>
        </w:rPr>
        <w:t>法定代表人或其委托代理人：</w:t>
      </w:r>
      <w:r>
        <w:rPr>
          <w:rFonts w:hAnsi="宋体"/>
          <w:color w:val="auto"/>
          <w:highlight w:val="none"/>
          <w:u w:val="single"/>
        </w:rPr>
        <w:t xml:space="preserve">          </w:t>
      </w:r>
      <w:r>
        <w:rPr>
          <w:rFonts w:hint="eastAsia" w:hAnsi="宋体"/>
          <w:color w:val="auto"/>
          <w:highlight w:val="none"/>
        </w:rPr>
        <w:t>（签字或盖章）</w:t>
      </w:r>
    </w:p>
    <w:p w14:paraId="5028DCE9">
      <w:pPr>
        <w:pStyle w:val="34"/>
        <w:spacing w:line="360" w:lineRule="auto"/>
        <w:ind w:left="3257" w:leftChars="1551" w:firstLine="2"/>
        <w:rPr>
          <w:rFonts w:hint="eastAsia" w:hAnsi="宋体"/>
          <w:color w:val="auto"/>
          <w:highlight w:val="none"/>
        </w:rPr>
      </w:pPr>
      <w:r>
        <w:rPr>
          <w:rFonts w:hAnsi="宋体"/>
          <w:color w:val="auto"/>
          <w:highlight w:val="none"/>
          <w:u w:val="single"/>
        </w:rPr>
        <w:t xml:space="preserve">       </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olor w:val="auto"/>
          <w:highlight w:val="none"/>
        </w:rPr>
        <w:t>年</w:t>
      </w:r>
      <w:r>
        <w:rPr>
          <w:rFonts w:hAnsi="宋体"/>
          <w:color w:val="auto"/>
          <w:highlight w:val="none"/>
          <w:u w:val="single"/>
        </w:rPr>
        <w:t xml:space="preserve">        </w:t>
      </w:r>
      <w:r>
        <w:rPr>
          <w:rFonts w:hint="eastAsia" w:hAnsi="宋体"/>
          <w:color w:val="auto"/>
          <w:highlight w:val="none"/>
        </w:rPr>
        <w:t>月</w:t>
      </w:r>
      <w:r>
        <w:rPr>
          <w:rFonts w:hAnsi="宋体"/>
          <w:color w:val="auto"/>
          <w:highlight w:val="none"/>
        </w:rPr>
        <w:t xml:space="preserve"> </w:t>
      </w:r>
      <w:r>
        <w:rPr>
          <w:rFonts w:hAnsi="宋体"/>
          <w:color w:val="auto"/>
          <w:highlight w:val="none"/>
          <w:u w:val="single"/>
        </w:rPr>
        <w:t xml:space="preserve">       </w:t>
      </w:r>
      <w:r>
        <w:rPr>
          <w:rFonts w:hint="eastAsia" w:hAnsi="宋体"/>
          <w:color w:val="auto"/>
          <w:highlight w:val="none"/>
        </w:rPr>
        <w:t>日</w:t>
      </w:r>
      <w:r>
        <w:rPr>
          <w:rFonts w:hAnsi="宋体"/>
          <w:color w:val="auto"/>
          <w:highlight w:val="none"/>
        </w:rPr>
        <w:t xml:space="preserve"> </w:t>
      </w:r>
    </w:p>
    <w:p w14:paraId="4B89D430">
      <w:pPr>
        <w:spacing w:line="400" w:lineRule="exact"/>
        <w:ind w:firstLine="422" w:firstLineChars="200"/>
        <w:jc w:val="center"/>
        <w:rPr>
          <w:rFonts w:ascii="宋体" w:cs="宋体"/>
          <w:b/>
          <w:bCs/>
          <w:color w:val="auto"/>
          <w:sz w:val="28"/>
          <w:szCs w:val="28"/>
          <w:highlight w:val="none"/>
          <w:lang w:val="zh-CN"/>
        </w:rPr>
      </w:pPr>
      <w:r>
        <w:rPr>
          <w:b/>
          <w:color w:val="auto"/>
          <w:highlight w:val="none"/>
        </w:rPr>
        <w:br w:type="page"/>
      </w:r>
      <w:r>
        <w:rPr>
          <w:rFonts w:hint="eastAsia"/>
          <w:b/>
          <w:color w:val="auto"/>
          <w:sz w:val="28"/>
          <w:szCs w:val="28"/>
          <w:highlight w:val="none"/>
        </w:rPr>
        <w:t>5.</w:t>
      </w:r>
      <w:r>
        <w:rPr>
          <w:rFonts w:hint="eastAsia"/>
          <w:b/>
          <w:color w:val="auto"/>
          <w:sz w:val="28"/>
          <w:szCs w:val="28"/>
          <w:highlight w:val="none"/>
          <w:lang w:val="zh-CN"/>
        </w:rPr>
        <w:t>供应商（服务商）承诺书</w:t>
      </w:r>
    </w:p>
    <w:p w14:paraId="2EB97638">
      <w:pPr>
        <w:pStyle w:val="35"/>
        <w:snapToGrid w:val="0"/>
        <w:spacing w:line="360" w:lineRule="auto"/>
        <w:ind w:firstLine="504" w:firstLineChars="200"/>
        <w:rPr>
          <w:rFonts w:cs="宋体"/>
          <w:color w:val="auto"/>
          <w:spacing w:val="6"/>
          <w:szCs w:val="24"/>
          <w:highlight w:val="none"/>
        </w:rPr>
      </w:pPr>
    </w:p>
    <w:p w14:paraId="5D8248E0">
      <w:pPr>
        <w:pStyle w:val="35"/>
        <w:snapToGrid w:val="0"/>
        <w:spacing w:line="360" w:lineRule="auto"/>
        <w:ind w:firstLine="425" w:firstLineChars="169"/>
        <w:rPr>
          <w:rFonts w:cs="宋体"/>
          <w:color w:val="auto"/>
          <w:spacing w:val="6"/>
          <w:szCs w:val="24"/>
          <w:highlight w:val="none"/>
        </w:rPr>
      </w:pPr>
      <w:r>
        <w:rPr>
          <w:rFonts w:hint="eastAsia" w:cs="宋体"/>
          <w:color w:val="auto"/>
          <w:spacing w:val="6"/>
          <w:szCs w:val="24"/>
          <w:highlight w:val="none"/>
        </w:rPr>
        <w:t>本人经由</w:t>
      </w:r>
      <w:r>
        <w:rPr>
          <w:rFonts w:hint="eastAsia" w:cs="宋体"/>
          <w:color w:val="auto"/>
          <w:spacing w:val="6"/>
          <w:szCs w:val="24"/>
          <w:highlight w:val="none"/>
          <w:u w:val="single"/>
        </w:rPr>
        <w:t xml:space="preserve">                     （单位）</w:t>
      </w:r>
      <w:r>
        <w:rPr>
          <w:rFonts w:hint="eastAsia" w:cs="宋体"/>
          <w:color w:val="auto"/>
          <w:spacing w:val="6"/>
          <w:szCs w:val="24"/>
          <w:highlight w:val="none"/>
        </w:rPr>
        <w:t>法定代表人</w:t>
      </w:r>
      <w:r>
        <w:rPr>
          <w:rFonts w:hint="eastAsia" w:cs="宋体"/>
          <w:color w:val="auto"/>
          <w:spacing w:val="6"/>
          <w:szCs w:val="24"/>
          <w:highlight w:val="none"/>
          <w:u w:val="single"/>
        </w:rPr>
        <w:t xml:space="preserve">      （姓名）</w:t>
      </w:r>
      <w:r>
        <w:rPr>
          <w:rFonts w:hint="eastAsia" w:cs="宋体"/>
          <w:color w:val="auto"/>
          <w:spacing w:val="6"/>
          <w:szCs w:val="24"/>
          <w:highlight w:val="none"/>
        </w:rPr>
        <w:t>合法授权参加</w:t>
      </w:r>
      <w:r>
        <w:rPr>
          <w:rFonts w:hint="eastAsia" w:cs="宋体"/>
          <w:b/>
          <w:bCs/>
          <w:color w:val="auto"/>
          <w:spacing w:val="6"/>
          <w:szCs w:val="24"/>
          <w:highlight w:val="none"/>
          <w:u w:val="single"/>
        </w:rPr>
        <w:t xml:space="preserve">                      </w:t>
      </w:r>
      <w:r>
        <w:rPr>
          <w:rFonts w:hint="eastAsia" w:cs="宋体"/>
          <w:color w:val="auto"/>
          <w:spacing w:val="6"/>
          <w:szCs w:val="24"/>
          <w:highlight w:val="none"/>
        </w:rPr>
        <w:t xml:space="preserve">项目的采购活动，经与本单位法人代表（负责人）确认，现就有关公平竞争事项郑重承诺如下： </w:t>
      </w:r>
    </w:p>
    <w:p w14:paraId="354A940A">
      <w:pPr>
        <w:pStyle w:val="35"/>
        <w:widowControl/>
        <w:numPr>
          <w:ilvl w:val="0"/>
          <w:numId w:val="3"/>
        </w:numPr>
        <w:adjustRightInd/>
        <w:snapToGrid w:val="0"/>
        <w:spacing w:line="360" w:lineRule="auto"/>
        <w:ind w:firstLine="407" w:firstLineChars="169"/>
        <w:jc w:val="left"/>
        <w:textAlignment w:val="auto"/>
        <w:rPr>
          <w:rFonts w:cs="宋体"/>
          <w:color w:val="auto"/>
          <w:szCs w:val="24"/>
          <w:highlight w:val="none"/>
        </w:rPr>
      </w:pPr>
      <w:r>
        <w:rPr>
          <w:rFonts w:hint="eastAsia" w:cs="宋体"/>
          <w:b/>
          <w:bCs/>
          <w:color w:val="auto"/>
          <w:szCs w:val="24"/>
          <w:highlight w:val="none"/>
        </w:rPr>
        <w:t>本单位承诺不存在与关联关系的企业共同参与本次采购活动，所述的关联关系是具有以下情形之一：</w:t>
      </w:r>
    </w:p>
    <w:p w14:paraId="53610CBF">
      <w:pPr>
        <w:pStyle w:val="35"/>
        <w:snapToGrid w:val="0"/>
        <w:spacing w:line="360" w:lineRule="auto"/>
        <w:ind w:firstLine="405" w:firstLineChars="169"/>
        <w:rPr>
          <w:rFonts w:cs="宋体"/>
          <w:color w:val="auto"/>
          <w:szCs w:val="24"/>
          <w:highlight w:val="none"/>
        </w:rPr>
      </w:pPr>
      <w:r>
        <w:rPr>
          <w:rFonts w:hint="eastAsia" w:cs="宋体"/>
          <w:color w:val="auto"/>
          <w:szCs w:val="24"/>
          <w:highlight w:val="none"/>
        </w:rPr>
        <w:t>A.法定代表人或负责人或实际控制人是同一人</w:t>
      </w:r>
    </w:p>
    <w:p w14:paraId="4E360880">
      <w:pPr>
        <w:pStyle w:val="35"/>
        <w:snapToGrid w:val="0"/>
        <w:spacing w:line="360" w:lineRule="auto"/>
        <w:ind w:firstLine="405" w:firstLineChars="169"/>
        <w:rPr>
          <w:rFonts w:cs="宋体"/>
          <w:color w:val="auto"/>
          <w:szCs w:val="24"/>
          <w:highlight w:val="none"/>
        </w:rPr>
      </w:pPr>
      <w:r>
        <w:rPr>
          <w:rFonts w:hint="eastAsia" w:cs="宋体"/>
          <w:color w:val="auto"/>
          <w:szCs w:val="24"/>
          <w:highlight w:val="none"/>
        </w:rPr>
        <w:t>B.法定代表人或负责人或实际控制人是夫妻关系</w:t>
      </w:r>
    </w:p>
    <w:p w14:paraId="4538B94A">
      <w:pPr>
        <w:pStyle w:val="35"/>
        <w:snapToGrid w:val="0"/>
        <w:spacing w:line="360" w:lineRule="auto"/>
        <w:ind w:firstLine="405" w:firstLineChars="169"/>
        <w:rPr>
          <w:rFonts w:cs="宋体"/>
          <w:color w:val="auto"/>
          <w:szCs w:val="24"/>
          <w:highlight w:val="none"/>
        </w:rPr>
      </w:pPr>
      <w:r>
        <w:rPr>
          <w:rFonts w:hint="eastAsia" w:cs="宋体"/>
          <w:color w:val="auto"/>
          <w:szCs w:val="24"/>
          <w:highlight w:val="none"/>
        </w:rPr>
        <w:t>C.法定代表人或负责人或实际控制人是直系血亲关系</w:t>
      </w:r>
    </w:p>
    <w:p w14:paraId="34400969">
      <w:pPr>
        <w:pStyle w:val="35"/>
        <w:snapToGrid w:val="0"/>
        <w:spacing w:line="360" w:lineRule="auto"/>
        <w:ind w:firstLine="405" w:firstLineChars="169"/>
        <w:rPr>
          <w:rFonts w:cs="宋体"/>
          <w:color w:val="auto"/>
          <w:szCs w:val="24"/>
          <w:highlight w:val="none"/>
        </w:rPr>
      </w:pPr>
      <w:r>
        <w:rPr>
          <w:rFonts w:hint="eastAsia" w:cs="宋体"/>
          <w:color w:val="auto"/>
          <w:szCs w:val="24"/>
          <w:highlight w:val="none"/>
        </w:rPr>
        <w:t>D.法定代表人或负责人或实际控制人存在三代以内旁系血亲关系</w:t>
      </w:r>
    </w:p>
    <w:p w14:paraId="7A335C8C">
      <w:pPr>
        <w:pStyle w:val="35"/>
        <w:snapToGrid w:val="0"/>
        <w:spacing w:line="360" w:lineRule="auto"/>
        <w:ind w:firstLine="405" w:firstLineChars="169"/>
        <w:rPr>
          <w:rFonts w:cs="宋体"/>
          <w:color w:val="auto"/>
          <w:szCs w:val="24"/>
          <w:highlight w:val="none"/>
          <w:lang w:val="zh-CN"/>
        </w:rPr>
      </w:pPr>
      <w:r>
        <w:rPr>
          <w:rFonts w:hint="eastAsia" w:cs="宋体"/>
          <w:color w:val="auto"/>
          <w:szCs w:val="24"/>
          <w:highlight w:val="none"/>
          <w:lang w:val="zh-CN"/>
        </w:rPr>
        <w:t>E.法定代表人或负责人或实际控制人存在近姻亲关系</w:t>
      </w:r>
    </w:p>
    <w:p w14:paraId="1999F784">
      <w:pPr>
        <w:pStyle w:val="35"/>
        <w:snapToGrid w:val="0"/>
        <w:spacing w:line="360" w:lineRule="auto"/>
        <w:ind w:firstLine="405" w:firstLineChars="169"/>
        <w:rPr>
          <w:rFonts w:cs="宋体"/>
          <w:color w:val="auto"/>
          <w:szCs w:val="24"/>
          <w:highlight w:val="none"/>
          <w:lang w:val="zh-CN"/>
        </w:rPr>
      </w:pPr>
      <w:r>
        <w:rPr>
          <w:rFonts w:hint="eastAsia" w:cs="宋体"/>
          <w:color w:val="auto"/>
          <w:szCs w:val="24"/>
          <w:highlight w:val="none"/>
          <w:lang w:val="zh-CN"/>
        </w:rPr>
        <w:t>F.法定代表人或负责人或实际控制人存在股份控制或实际控制关系</w:t>
      </w:r>
    </w:p>
    <w:p w14:paraId="6F95D65D">
      <w:pPr>
        <w:pStyle w:val="35"/>
        <w:snapToGrid w:val="0"/>
        <w:spacing w:line="360" w:lineRule="auto"/>
        <w:ind w:firstLine="405" w:firstLineChars="169"/>
        <w:rPr>
          <w:rFonts w:cs="宋体"/>
          <w:color w:val="auto"/>
          <w:szCs w:val="24"/>
          <w:highlight w:val="none"/>
          <w:lang w:val="zh-CN"/>
        </w:rPr>
      </w:pPr>
      <w:r>
        <w:rPr>
          <w:rFonts w:hint="eastAsia" w:cs="宋体"/>
          <w:color w:val="auto"/>
          <w:szCs w:val="24"/>
          <w:highlight w:val="none"/>
          <w:lang w:val="zh-CN"/>
        </w:rPr>
        <w:t>G.存在共同直接或间接投资设立子公司、联营企业和合营企业情况</w:t>
      </w:r>
    </w:p>
    <w:p w14:paraId="16136737">
      <w:pPr>
        <w:pStyle w:val="35"/>
        <w:snapToGrid w:val="0"/>
        <w:spacing w:line="360" w:lineRule="auto"/>
        <w:ind w:firstLine="405" w:firstLineChars="169"/>
        <w:rPr>
          <w:rFonts w:cs="宋体"/>
          <w:color w:val="auto"/>
          <w:szCs w:val="24"/>
          <w:highlight w:val="none"/>
          <w:lang w:val="zh-CN"/>
        </w:rPr>
      </w:pPr>
      <w:r>
        <w:rPr>
          <w:rFonts w:hint="eastAsia" w:cs="宋体"/>
          <w:color w:val="auto"/>
          <w:szCs w:val="24"/>
          <w:highlight w:val="none"/>
          <w:lang w:val="zh-CN"/>
        </w:rPr>
        <w:t>H.存在分级代理或代销关系、同一生产制造商关系、管理关系、重要业务（占主营业务收入50%以上）或重要财务往来关系（如融资）等其他实质性控制关系</w:t>
      </w:r>
    </w:p>
    <w:p w14:paraId="2F4FEFB5">
      <w:pPr>
        <w:pStyle w:val="35"/>
        <w:snapToGrid w:val="0"/>
        <w:spacing w:line="360" w:lineRule="auto"/>
        <w:ind w:firstLine="405" w:firstLineChars="169"/>
        <w:rPr>
          <w:rFonts w:cs="宋体"/>
          <w:color w:val="auto"/>
          <w:spacing w:val="6"/>
          <w:szCs w:val="24"/>
          <w:highlight w:val="none"/>
        </w:rPr>
      </w:pPr>
      <w:r>
        <w:rPr>
          <w:rFonts w:hint="eastAsia" w:cs="宋体"/>
          <w:color w:val="auto"/>
          <w:szCs w:val="24"/>
          <w:highlight w:val="none"/>
        </w:rPr>
        <w:t>I.其他利害关系情况</w:t>
      </w:r>
      <w:r>
        <w:rPr>
          <w:rFonts w:hint="eastAsia" w:cs="宋体"/>
          <w:color w:val="auto"/>
          <w:szCs w:val="24"/>
          <w:highlight w:val="none"/>
          <w:u w:val="single"/>
        </w:rPr>
        <w:t xml:space="preserve">                              </w:t>
      </w:r>
      <w:r>
        <w:rPr>
          <w:rFonts w:hint="eastAsia" w:cs="宋体"/>
          <w:color w:val="auto"/>
          <w:szCs w:val="24"/>
          <w:highlight w:val="none"/>
        </w:rPr>
        <w:t>。</w:t>
      </w:r>
    </w:p>
    <w:p w14:paraId="1046D9D3">
      <w:pPr>
        <w:pStyle w:val="35"/>
        <w:snapToGrid w:val="0"/>
        <w:spacing w:line="360" w:lineRule="auto"/>
        <w:ind w:firstLine="407" w:firstLineChars="169"/>
        <w:outlineLvl w:val="1"/>
        <w:rPr>
          <w:rFonts w:cs="宋体"/>
          <w:b/>
          <w:bCs/>
          <w:color w:val="auto"/>
          <w:szCs w:val="24"/>
          <w:highlight w:val="none"/>
        </w:rPr>
      </w:pPr>
      <w:r>
        <w:rPr>
          <w:rFonts w:hint="eastAsia" w:cs="宋体"/>
          <w:b/>
          <w:bCs/>
          <w:color w:val="auto"/>
          <w:szCs w:val="24"/>
          <w:highlight w:val="none"/>
        </w:rPr>
        <w:t>二、现已清楚知道并严格遵守招标法律法规和承诺要求。</w:t>
      </w:r>
    </w:p>
    <w:p w14:paraId="6E030B0E">
      <w:pPr>
        <w:pStyle w:val="35"/>
        <w:snapToGrid w:val="0"/>
        <w:spacing w:line="360" w:lineRule="auto"/>
        <w:ind w:firstLine="480" w:firstLineChars="200"/>
        <w:rPr>
          <w:rFonts w:cs="宋体"/>
          <w:color w:val="auto"/>
          <w:szCs w:val="24"/>
          <w:highlight w:val="none"/>
        </w:rPr>
      </w:pPr>
      <w:r>
        <w:rPr>
          <w:rFonts w:hint="eastAsia" w:cs="宋体"/>
          <w:color w:val="auto"/>
          <w:szCs w:val="24"/>
          <w:highlight w:val="none"/>
        </w:rPr>
        <w:t xml:space="preserve">                          </w:t>
      </w:r>
    </w:p>
    <w:p w14:paraId="0FEA2050">
      <w:pPr>
        <w:pStyle w:val="34"/>
        <w:spacing w:line="360" w:lineRule="auto"/>
        <w:ind w:firstLine="2880" w:firstLineChars="1200"/>
        <w:rPr>
          <w:rFonts w:hint="eastAsia" w:hAnsi="宋体"/>
          <w:color w:val="auto"/>
          <w:highlight w:val="none"/>
        </w:rPr>
      </w:pPr>
      <w:r>
        <w:rPr>
          <w:rFonts w:hint="eastAsia" w:hAnsi="宋体"/>
          <w:color w:val="auto"/>
          <w:highlight w:val="none"/>
        </w:rPr>
        <w:t>投标人：</w:t>
      </w:r>
      <w:r>
        <w:rPr>
          <w:rFonts w:hAnsi="宋体"/>
          <w:color w:val="auto"/>
          <w:highlight w:val="none"/>
          <w:u w:val="single"/>
        </w:rPr>
        <w:t xml:space="preserve">                             </w:t>
      </w:r>
      <w:r>
        <w:rPr>
          <w:rFonts w:hint="eastAsia" w:hAnsi="宋体"/>
          <w:color w:val="auto"/>
          <w:highlight w:val="none"/>
        </w:rPr>
        <w:t>（盖单位章）</w:t>
      </w:r>
    </w:p>
    <w:p w14:paraId="45E06CE7">
      <w:pPr>
        <w:pStyle w:val="34"/>
        <w:spacing w:line="360" w:lineRule="auto"/>
        <w:ind w:firstLine="2880" w:firstLineChars="1200"/>
        <w:rPr>
          <w:rFonts w:hint="eastAsia" w:hAnsi="宋体"/>
          <w:color w:val="auto"/>
          <w:highlight w:val="none"/>
        </w:rPr>
      </w:pPr>
      <w:r>
        <w:rPr>
          <w:rFonts w:hint="eastAsia" w:hAnsi="宋体"/>
          <w:color w:val="auto"/>
          <w:highlight w:val="none"/>
        </w:rPr>
        <w:t>法定代表人或其委托代理人：</w:t>
      </w:r>
      <w:r>
        <w:rPr>
          <w:rFonts w:hAnsi="宋体"/>
          <w:color w:val="auto"/>
          <w:highlight w:val="none"/>
          <w:u w:val="single"/>
        </w:rPr>
        <w:t xml:space="preserve">          </w:t>
      </w:r>
      <w:r>
        <w:rPr>
          <w:rFonts w:hint="eastAsia" w:hAnsi="宋体"/>
          <w:color w:val="auto"/>
          <w:highlight w:val="none"/>
        </w:rPr>
        <w:t>（签字或盖章）</w:t>
      </w:r>
    </w:p>
    <w:p w14:paraId="406DD135">
      <w:pPr>
        <w:pStyle w:val="34"/>
        <w:spacing w:line="360" w:lineRule="auto"/>
        <w:ind w:left="3257" w:leftChars="1551" w:firstLine="2"/>
        <w:rPr>
          <w:rFonts w:hint="eastAsia" w:hAnsi="宋体"/>
          <w:color w:val="auto"/>
          <w:highlight w:val="none"/>
        </w:rPr>
      </w:pPr>
      <w:r>
        <w:rPr>
          <w:rFonts w:hAnsi="宋体"/>
          <w:color w:val="auto"/>
          <w:highlight w:val="none"/>
          <w:u w:val="single"/>
        </w:rPr>
        <w:t xml:space="preserve">       </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olor w:val="auto"/>
          <w:highlight w:val="none"/>
        </w:rPr>
        <w:t>年</w:t>
      </w:r>
      <w:r>
        <w:rPr>
          <w:rFonts w:hAnsi="宋体"/>
          <w:color w:val="auto"/>
          <w:highlight w:val="none"/>
          <w:u w:val="single"/>
        </w:rPr>
        <w:t xml:space="preserve">        </w:t>
      </w:r>
      <w:r>
        <w:rPr>
          <w:rFonts w:hint="eastAsia" w:hAnsi="宋体"/>
          <w:color w:val="auto"/>
          <w:highlight w:val="none"/>
        </w:rPr>
        <w:t>月</w:t>
      </w:r>
      <w:r>
        <w:rPr>
          <w:rFonts w:hAnsi="宋体"/>
          <w:color w:val="auto"/>
          <w:highlight w:val="none"/>
        </w:rPr>
        <w:t xml:space="preserve"> </w:t>
      </w:r>
      <w:r>
        <w:rPr>
          <w:rFonts w:hAnsi="宋体"/>
          <w:color w:val="auto"/>
          <w:highlight w:val="none"/>
          <w:u w:val="single"/>
        </w:rPr>
        <w:t xml:space="preserve">       </w:t>
      </w:r>
      <w:r>
        <w:rPr>
          <w:rFonts w:hint="eastAsia" w:hAnsi="宋体"/>
          <w:color w:val="auto"/>
          <w:highlight w:val="none"/>
        </w:rPr>
        <w:t>日</w:t>
      </w:r>
      <w:r>
        <w:rPr>
          <w:rFonts w:hAnsi="宋体"/>
          <w:color w:val="auto"/>
          <w:highlight w:val="none"/>
        </w:rPr>
        <w:t xml:space="preserve"> </w:t>
      </w:r>
    </w:p>
    <w:p w14:paraId="45F32EC0">
      <w:pPr>
        <w:spacing w:after="156" w:afterLines="50"/>
        <w:jc w:val="center"/>
        <w:rPr>
          <w:rFonts w:ascii="宋体" w:cs="宋体"/>
          <w:color w:val="auto"/>
          <w:sz w:val="28"/>
          <w:szCs w:val="28"/>
          <w:highlight w:val="none"/>
        </w:rPr>
      </w:pPr>
    </w:p>
    <w:p w14:paraId="35E94105">
      <w:pPr>
        <w:pStyle w:val="14"/>
        <w:rPr>
          <w:color w:val="auto"/>
          <w:highlight w:val="none"/>
        </w:rPr>
      </w:pPr>
    </w:p>
    <w:p w14:paraId="508A3D52">
      <w:pPr>
        <w:spacing w:line="400" w:lineRule="exact"/>
        <w:ind w:firstLine="562" w:firstLineChars="200"/>
        <w:jc w:val="center"/>
        <w:outlineLvl w:val="2"/>
        <w:rPr>
          <w:rFonts w:ascii="宋体" w:cs="宋体"/>
          <w:b/>
          <w:bCs/>
          <w:color w:val="auto"/>
          <w:sz w:val="28"/>
          <w:szCs w:val="28"/>
          <w:highlight w:val="none"/>
        </w:rPr>
      </w:pPr>
      <w:r>
        <w:rPr>
          <w:rFonts w:hint="eastAsia" w:ascii="宋体" w:hAnsi="Times New Roman" w:cs="宋体"/>
          <w:b/>
          <w:bCs/>
          <w:color w:val="auto"/>
          <w:sz w:val="28"/>
          <w:szCs w:val="28"/>
          <w:highlight w:val="none"/>
        </w:rPr>
        <w:t>6.廉洁承诺书</w:t>
      </w:r>
    </w:p>
    <w:p w14:paraId="1E5374CC">
      <w:pPr>
        <w:pStyle w:val="35"/>
        <w:snapToGrid w:val="0"/>
        <w:spacing w:line="360" w:lineRule="auto"/>
        <w:rPr>
          <w:rFonts w:cs="宋体"/>
          <w:color w:val="auto"/>
          <w:szCs w:val="24"/>
          <w:highlight w:val="none"/>
          <w:lang w:val="zh-CN"/>
        </w:rPr>
      </w:pPr>
      <w:bookmarkStart w:id="378" w:name="_Toc6195"/>
      <w:bookmarkStart w:id="379" w:name="_Toc28437"/>
      <w:r>
        <w:rPr>
          <w:rFonts w:hint="eastAsia" w:cs="宋体"/>
          <w:color w:val="auto"/>
          <w:szCs w:val="24"/>
          <w:highlight w:val="none"/>
          <w:u w:val="single"/>
          <w:lang w:val="zh-CN"/>
        </w:rPr>
        <w:t>（招标人）</w:t>
      </w:r>
      <w:r>
        <w:rPr>
          <w:rFonts w:cs="宋体"/>
          <w:color w:val="auto"/>
          <w:szCs w:val="24"/>
          <w:highlight w:val="none"/>
          <w:u w:val="single"/>
          <w:lang w:val="zh-CN"/>
        </w:rPr>
        <w:t xml:space="preserve">               </w:t>
      </w:r>
      <w:r>
        <w:rPr>
          <w:rFonts w:hint="eastAsia" w:cs="宋体"/>
          <w:color w:val="auto"/>
          <w:szCs w:val="24"/>
          <w:highlight w:val="none"/>
          <w:lang w:val="zh-CN"/>
        </w:rPr>
        <w:t>:</w:t>
      </w:r>
      <w:bookmarkEnd w:id="378"/>
      <w:bookmarkEnd w:id="379"/>
    </w:p>
    <w:p w14:paraId="018D4293">
      <w:pPr>
        <w:pStyle w:val="35"/>
        <w:snapToGrid w:val="0"/>
        <w:spacing w:line="360" w:lineRule="auto"/>
        <w:ind w:firstLine="405" w:firstLineChars="169"/>
        <w:rPr>
          <w:rFonts w:cs="宋体"/>
          <w:color w:val="auto"/>
          <w:szCs w:val="24"/>
          <w:highlight w:val="none"/>
          <w:lang w:val="zh-CN"/>
        </w:rPr>
      </w:pPr>
      <w:bookmarkStart w:id="380" w:name="_Toc6010"/>
      <w:bookmarkStart w:id="381" w:name="_Toc9603"/>
      <w:r>
        <w:rPr>
          <w:rFonts w:hint="eastAsia" w:cs="宋体"/>
          <w:color w:val="auto"/>
          <w:szCs w:val="24"/>
          <w:highlight w:val="none"/>
          <w:lang w:val="zh-CN"/>
        </w:rPr>
        <w:t>作为贵公司潜在供应商，我单位现作如下郑重承诺：</w:t>
      </w:r>
      <w:bookmarkEnd w:id="380"/>
      <w:bookmarkEnd w:id="381"/>
    </w:p>
    <w:p w14:paraId="4C50B881">
      <w:pPr>
        <w:pStyle w:val="35"/>
        <w:snapToGrid w:val="0"/>
        <w:spacing w:line="360" w:lineRule="auto"/>
        <w:ind w:firstLine="405" w:firstLineChars="169"/>
        <w:rPr>
          <w:rFonts w:cs="宋体"/>
          <w:color w:val="auto"/>
          <w:szCs w:val="24"/>
          <w:highlight w:val="none"/>
          <w:lang w:val="zh-CN"/>
        </w:rPr>
      </w:pPr>
      <w:bookmarkStart w:id="382" w:name="_Toc27318"/>
      <w:bookmarkStart w:id="383" w:name="_Toc26799"/>
      <w:r>
        <w:rPr>
          <w:rFonts w:hint="eastAsia" w:cs="宋体"/>
          <w:color w:val="auto"/>
          <w:szCs w:val="24"/>
          <w:highlight w:val="none"/>
          <w:lang w:val="zh-CN"/>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382"/>
      <w:bookmarkEnd w:id="383"/>
    </w:p>
    <w:p w14:paraId="28C596D7">
      <w:pPr>
        <w:pStyle w:val="35"/>
        <w:snapToGrid w:val="0"/>
        <w:spacing w:line="360" w:lineRule="auto"/>
        <w:ind w:firstLine="405" w:firstLineChars="169"/>
        <w:rPr>
          <w:rFonts w:cs="宋体"/>
          <w:color w:val="auto"/>
          <w:szCs w:val="24"/>
          <w:highlight w:val="none"/>
          <w:lang w:val="zh-CN"/>
        </w:rPr>
      </w:pPr>
      <w:bookmarkStart w:id="384" w:name="_Toc24922"/>
      <w:bookmarkStart w:id="385" w:name="_Toc32329"/>
      <w:r>
        <w:rPr>
          <w:rFonts w:hint="eastAsia" w:cs="宋体"/>
          <w:color w:val="auto"/>
          <w:szCs w:val="24"/>
          <w:highlight w:val="none"/>
          <w:lang w:val="zh-CN"/>
        </w:rPr>
        <w:t>2. 在与贵公司的业务往来过程中，不做违反中央八项规定精神和“四风”的事情，不向贵公司工作人员提供宴请、旅游、健身、娱乐等活动安排。</w:t>
      </w:r>
      <w:bookmarkEnd w:id="384"/>
      <w:bookmarkEnd w:id="385"/>
    </w:p>
    <w:p w14:paraId="2EED6825">
      <w:pPr>
        <w:pStyle w:val="35"/>
        <w:snapToGrid w:val="0"/>
        <w:spacing w:line="360" w:lineRule="auto"/>
        <w:ind w:firstLine="405" w:firstLineChars="169"/>
        <w:rPr>
          <w:rFonts w:cs="宋体"/>
          <w:color w:val="auto"/>
          <w:szCs w:val="24"/>
          <w:highlight w:val="none"/>
          <w:lang w:val="zh-CN"/>
        </w:rPr>
      </w:pPr>
      <w:bookmarkStart w:id="386" w:name="_Toc13802"/>
      <w:bookmarkStart w:id="387" w:name="_Toc16312"/>
      <w:r>
        <w:rPr>
          <w:rFonts w:hint="eastAsia" w:cs="宋体"/>
          <w:color w:val="auto"/>
          <w:szCs w:val="24"/>
          <w:highlight w:val="none"/>
          <w:lang w:val="zh-CN"/>
        </w:rPr>
        <w:t>3. 对贵公司工作人员主动向我单位为其本人或亲属索取好处或有相关暗示的不良行为，我单位承诺立即向贵公司如实反映（举报电话：</w:t>
      </w:r>
      <w:r>
        <w:rPr>
          <w:rFonts w:hint="eastAsia" w:cs="宋体"/>
          <w:color w:val="auto"/>
          <w:szCs w:val="24"/>
          <w:highlight w:val="none"/>
        </w:rPr>
        <w:t>0570-3091876</w:t>
      </w:r>
      <w:r>
        <w:rPr>
          <w:rFonts w:hint="eastAsia" w:cs="宋体"/>
          <w:color w:val="auto"/>
          <w:szCs w:val="24"/>
          <w:highlight w:val="none"/>
          <w:lang w:val="zh-CN"/>
        </w:rPr>
        <w:t>；巨化采购监管办公室投诉邮箱：</w:t>
      </w:r>
      <w:r>
        <w:rPr>
          <w:color w:val="auto"/>
          <w:highlight w:val="none"/>
        </w:rPr>
        <w:fldChar w:fldCharType="begin"/>
      </w:r>
      <w:r>
        <w:rPr>
          <w:color w:val="auto"/>
          <w:highlight w:val="none"/>
        </w:rPr>
        <w:instrText xml:space="preserve"> HYPERLINK "mailto:3091876@juhua.com" </w:instrText>
      </w:r>
      <w:r>
        <w:rPr>
          <w:color w:val="auto"/>
          <w:highlight w:val="none"/>
        </w:rPr>
        <w:fldChar w:fldCharType="separate"/>
      </w:r>
      <w:r>
        <w:rPr>
          <w:rFonts w:hint="eastAsia" w:cs="宋体"/>
          <w:color w:val="auto"/>
          <w:szCs w:val="24"/>
          <w:highlight w:val="none"/>
          <w:lang w:val="zh-CN"/>
        </w:rPr>
        <w:t>3091876@juhua.com</w:t>
      </w:r>
      <w:r>
        <w:rPr>
          <w:rFonts w:hint="eastAsia" w:cs="宋体"/>
          <w:color w:val="auto"/>
          <w:szCs w:val="24"/>
          <w:highlight w:val="none"/>
          <w:lang w:val="zh-CN"/>
        </w:rPr>
        <w:fldChar w:fldCharType="end"/>
      </w:r>
      <w:r>
        <w:rPr>
          <w:rFonts w:hint="eastAsia" w:cs="宋体"/>
          <w:color w:val="auto"/>
          <w:szCs w:val="24"/>
          <w:highlight w:val="none"/>
          <w:lang w:val="zh-CN"/>
        </w:rPr>
        <w:t>）。反映内容如系恶意虚假，我单位愿承担相应的法律责任。</w:t>
      </w:r>
      <w:bookmarkEnd w:id="386"/>
      <w:bookmarkEnd w:id="387"/>
    </w:p>
    <w:p w14:paraId="45C572EA">
      <w:pPr>
        <w:pStyle w:val="35"/>
        <w:snapToGrid w:val="0"/>
        <w:spacing w:line="360" w:lineRule="auto"/>
        <w:ind w:firstLine="405" w:firstLineChars="169"/>
        <w:rPr>
          <w:rFonts w:cs="宋体"/>
          <w:color w:val="auto"/>
          <w:szCs w:val="24"/>
          <w:highlight w:val="none"/>
          <w:lang w:val="zh-CN"/>
        </w:rPr>
      </w:pPr>
      <w:bookmarkStart w:id="388" w:name="_Toc12853"/>
      <w:bookmarkStart w:id="389" w:name="_Toc21989"/>
      <w:r>
        <w:rPr>
          <w:rFonts w:hint="eastAsia" w:cs="宋体"/>
          <w:color w:val="auto"/>
          <w:szCs w:val="24"/>
          <w:highlight w:val="none"/>
          <w:lang w:val="zh-CN"/>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388"/>
      <w:bookmarkEnd w:id="389"/>
    </w:p>
    <w:p w14:paraId="09701895">
      <w:pPr>
        <w:pStyle w:val="35"/>
        <w:snapToGrid w:val="0"/>
        <w:spacing w:line="360" w:lineRule="auto"/>
        <w:ind w:firstLine="405" w:firstLineChars="169"/>
        <w:rPr>
          <w:rFonts w:cs="宋体"/>
          <w:color w:val="auto"/>
          <w:szCs w:val="24"/>
          <w:highlight w:val="none"/>
          <w:lang w:val="zh-CN"/>
        </w:rPr>
      </w:pPr>
      <w:bookmarkStart w:id="390" w:name="_Toc28242"/>
      <w:bookmarkStart w:id="391" w:name="_Toc22302"/>
      <w:r>
        <w:rPr>
          <w:rFonts w:hint="eastAsia" w:cs="宋体"/>
          <w:color w:val="auto"/>
          <w:szCs w:val="24"/>
          <w:highlight w:val="none"/>
          <w:lang w:val="zh-CN"/>
        </w:rPr>
        <w:t>本承诺书作为响应附件提供给采购单位。</w:t>
      </w:r>
      <w:bookmarkEnd w:id="390"/>
      <w:bookmarkEnd w:id="391"/>
    </w:p>
    <w:p w14:paraId="5BDD2FDA">
      <w:pPr>
        <w:pStyle w:val="35"/>
        <w:snapToGrid w:val="0"/>
        <w:spacing w:line="360" w:lineRule="auto"/>
        <w:ind w:firstLine="405" w:firstLineChars="169"/>
        <w:rPr>
          <w:rFonts w:cs="宋体"/>
          <w:color w:val="auto"/>
          <w:szCs w:val="24"/>
          <w:highlight w:val="none"/>
          <w:lang w:val="zh-CN"/>
        </w:rPr>
      </w:pPr>
    </w:p>
    <w:p w14:paraId="73E17627">
      <w:pPr>
        <w:pStyle w:val="35"/>
        <w:snapToGrid w:val="0"/>
        <w:spacing w:line="360" w:lineRule="auto"/>
        <w:ind w:firstLine="405" w:firstLineChars="169"/>
        <w:rPr>
          <w:rFonts w:cs="宋体"/>
          <w:color w:val="auto"/>
          <w:szCs w:val="24"/>
          <w:highlight w:val="none"/>
          <w:lang w:val="zh-CN"/>
        </w:rPr>
      </w:pPr>
    </w:p>
    <w:p w14:paraId="2291D548">
      <w:pPr>
        <w:pStyle w:val="35"/>
        <w:snapToGrid w:val="0"/>
        <w:spacing w:line="360" w:lineRule="auto"/>
        <w:ind w:firstLine="405" w:firstLineChars="169"/>
        <w:rPr>
          <w:rFonts w:cs="宋体"/>
          <w:color w:val="auto"/>
          <w:szCs w:val="24"/>
          <w:highlight w:val="none"/>
          <w:lang w:val="zh-CN"/>
        </w:rPr>
      </w:pPr>
    </w:p>
    <w:p w14:paraId="32B83F03">
      <w:pPr>
        <w:pStyle w:val="35"/>
        <w:snapToGrid w:val="0"/>
        <w:spacing w:line="360" w:lineRule="auto"/>
        <w:ind w:firstLine="405" w:firstLineChars="169"/>
        <w:rPr>
          <w:rFonts w:cs="宋体"/>
          <w:color w:val="auto"/>
          <w:szCs w:val="24"/>
          <w:highlight w:val="none"/>
          <w:lang w:val="zh-CN"/>
        </w:rPr>
      </w:pPr>
    </w:p>
    <w:p w14:paraId="415F4C73">
      <w:pPr>
        <w:pStyle w:val="34"/>
        <w:spacing w:line="360" w:lineRule="auto"/>
        <w:ind w:firstLine="3120" w:firstLineChars="1300"/>
        <w:rPr>
          <w:rFonts w:hint="eastAsia" w:hAnsi="宋体"/>
          <w:color w:val="auto"/>
          <w:highlight w:val="none"/>
        </w:rPr>
      </w:pPr>
      <w:r>
        <w:rPr>
          <w:rFonts w:hint="eastAsia" w:hAnsi="宋体"/>
          <w:color w:val="auto"/>
          <w:highlight w:val="none"/>
        </w:rPr>
        <w:t>投标人：</w:t>
      </w:r>
      <w:r>
        <w:rPr>
          <w:rFonts w:hAnsi="宋体"/>
          <w:color w:val="auto"/>
          <w:highlight w:val="none"/>
          <w:u w:val="single"/>
        </w:rPr>
        <w:t xml:space="preserve">                             </w:t>
      </w:r>
      <w:r>
        <w:rPr>
          <w:rFonts w:hint="eastAsia" w:hAnsi="宋体"/>
          <w:color w:val="auto"/>
          <w:highlight w:val="none"/>
        </w:rPr>
        <w:t>（盖单位章）</w:t>
      </w:r>
    </w:p>
    <w:p w14:paraId="4DAA4580">
      <w:pPr>
        <w:pStyle w:val="34"/>
        <w:spacing w:line="360" w:lineRule="auto"/>
        <w:ind w:firstLine="3120" w:firstLineChars="1300"/>
        <w:rPr>
          <w:rFonts w:hint="eastAsia" w:hAnsi="宋体"/>
          <w:color w:val="auto"/>
          <w:highlight w:val="none"/>
        </w:rPr>
      </w:pPr>
      <w:r>
        <w:rPr>
          <w:rFonts w:hint="eastAsia" w:hAnsi="宋体"/>
          <w:color w:val="auto"/>
          <w:highlight w:val="none"/>
        </w:rPr>
        <w:t>法定代表人或其委托代理人：</w:t>
      </w:r>
      <w:r>
        <w:rPr>
          <w:rFonts w:hAnsi="宋体"/>
          <w:color w:val="auto"/>
          <w:highlight w:val="none"/>
          <w:u w:val="single"/>
        </w:rPr>
        <w:t xml:space="preserve">          </w:t>
      </w:r>
      <w:r>
        <w:rPr>
          <w:rFonts w:hint="eastAsia" w:hAnsi="宋体"/>
          <w:color w:val="auto"/>
          <w:highlight w:val="none"/>
        </w:rPr>
        <w:t>（签字或盖章）</w:t>
      </w:r>
    </w:p>
    <w:p w14:paraId="176883F6">
      <w:pPr>
        <w:pStyle w:val="34"/>
        <w:spacing w:line="360" w:lineRule="auto"/>
        <w:ind w:left="3257" w:leftChars="1551" w:firstLine="2"/>
        <w:rPr>
          <w:rFonts w:hint="eastAsia" w:hAnsi="宋体"/>
          <w:color w:val="auto"/>
          <w:highlight w:val="none"/>
        </w:rPr>
      </w:pPr>
      <w:r>
        <w:rPr>
          <w:rFonts w:hAnsi="宋体"/>
          <w:color w:val="auto"/>
          <w:highlight w:val="none"/>
          <w:u w:val="single"/>
        </w:rPr>
        <w:t xml:space="preserve">       </w:t>
      </w:r>
      <w:r>
        <w:rPr>
          <w:rFonts w:hint="eastAsia" w:hAnsi="宋体"/>
          <w:color w:val="auto"/>
          <w:highlight w:val="none"/>
          <w:u w:val="single"/>
        </w:rPr>
        <w:t xml:space="preserve">   </w:t>
      </w:r>
      <w:r>
        <w:rPr>
          <w:rFonts w:hAnsi="宋体"/>
          <w:color w:val="auto"/>
          <w:highlight w:val="none"/>
          <w:u w:val="single"/>
        </w:rPr>
        <w:t xml:space="preserve">   </w:t>
      </w:r>
      <w:r>
        <w:rPr>
          <w:rFonts w:hint="eastAsia" w:hAnsi="宋体"/>
          <w:color w:val="auto"/>
          <w:highlight w:val="none"/>
        </w:rPr>
        <w:t>年</w:t>
      </w:r>
      <w:r>
        <w:rPr>
          <w:rFonts w:hAnsi="宋体"/>
          <w:color w:val="auto"/>
          <w:highlight w:val="none"/>
          <w:u w:val="single"/>
        </w:rPr>
        <w:t xml:space="preserve">        </w:t>
      </w:r>
      <w:r>
        <w:rPr>
          <w:rFonts w:hint="eastAsia" w:hAnsi="宋体"/>
          <w:color w:val="auto"/>
          <w:highlight w:val="none"/>
        </w:rPr>
        <w:t>月</w:t>
      </w:r>
      <w:r>
        <w:rPr>
          <w:rFonts w:hAnsi="宋体"/>
          <w:color w:val="auto"/>
          <w:highlight w:val="none"/>
        </w:rPr>
        <w:t xml:space="preserve"> </w:t>
      </w:r>
      <w:r>
        <w:rPr>
          <w:rFonts w:hAnsi="宋体"/>
          <w:color w:val="auto"/>
          <w:highlight w:val="none"/>
          <w:u w:val="single"/>
        </w:rPr>
        <w:t xml:space="preserve">       </w:t>
      </w:r>
      <w:r>
        <w:rPr>
          <w:rFonts w:hint="eastAsia" w:hAnsi="宋体"/>
          <w:color w:val="auto"/>
          <w:highlight w:val="none"/>
        </w:rPr>
        <w:t>日</w:t>
      </w:r>
      <w:r>
        <w:rPr>
          <w:rFonts w:hAnsi="宋体"/>
          <w:color w:val="auto"/>
          <w:highlight w:val="none"/>
        </w:rPr>
        <w:t xml:space="preserve"> </w:t>
      </w:r>
    </w:p>
    <w:p w14:paraId="0A77A66F">
      <w:pPr>
        <w:autoSpaceDE w:val="0"/>
        <w:autoSpaceDN w:val="0"/>
        <w:adjustRightInd w:val="0"/>
        <w:spacing w:before="156" w:beforeLines="50" w:line="480" w:lineRule="exact"/>
        <w:ind w:firstLine="482" w:firstLineChars="200"/>
        <w:jc w:val="center"/>
        <w:rPr>
          <w:rFonts w:hint="eastAsia"/>
          <w:color w:val="auto"/>
          <w:sz w:val="24"/>
          <w:szCs w:val="24"/>
          <w:highlight w:val="none"/>
        </w:rPr>
      </w:pPr>
      <w:r>
        <w:rPr>
          <w:rFonts w:hint="eastAsia"/>
          <w:b/>
          <w:color w:val="auto"/>
          <w:sz w:val="24"/>
          <w:szCs w:val="24"/>
          <w:highlight w:val="none"/>
        </w:rPr>
        <w:t>7. 其他承诺或材料（投标人根据自身情况及招标文件要求自行拟定）</w:t>
      </w:r>
    </w:p>
    <w:p w14:paraId="1D52FC69">
      <w:pPr>
        <w:rPr>
          <w:color w:val="auto"/>
          <w:highlight w:val="none"/>
        </w:rPr>
      </w:pPr>
    </w:p>
    <w:p w14:paraId="00E73FF6">
      <w:pPr>
        <w:pStyle w:val="4"/>
        <w:rPr>
          <w:rFonts w:hint="eastAsia"/>
          <w:color w:val="auto"/>
          <w:highlight w:val="none"/>
        </w:rPr>
      </w:pPr>
      <w:r>
        <w:rPr>
          <w:color w:val="auto"/>
          <w:highlight w:val="none"/>
        </w:rPr>
        <w:br w:type="page"/>
      </w:r>
      <w:bookmarkStart w:id="392" w:name="_Toc72846874"/>
      <w:r>
        <w:rPr>
          <w:rFonts w:hint="eastAsia" w:ascii="黑体" w:eastAsia="黑体"/>
          <w:b w:val="0"/>
          <w:color w:val="auto"/>
          <w:highlight w:val="none"/>
        </w:rPr>
        <w:t>第六章合同条款</w:t>
      </w:r>
      <w:bookmarkEnd w:id="392"/>
    </w:p>
    <w:p w14:paraId="7B5371DB">
      <w:pPr>
        <w:spacing w:line="360" w:lineRule="auto"/>
        <w:jc w:val="center"/>
        <w:rPr>
          <w:rFonts w:hint="eastAsia"/>
          <w:color w:val="auto"/>
          <w:highlight w:val="none"/>
        </w:rPr>
      </w:pPr>
    </w:p>
    <w:p w14:paraId="0C6F378B">
      <w:pPr>
        <w:spacing w:line="360" w:lineRule="auto"/>
        <w:jc w:val="center"/>
        <w:rPr>
          <w:b/>
          <w:color w:val="auto"/>
          <w:sz w:val="28"/>
          <w:highlight w:val="none"/>
        </w:rPr>
      </w:pPr>
      <w:r>
        <w:rPr>
          <w:rFonts w:hint="eastAsia"/>
          <w:b/>
          <w:color w:val="auto"/>
          <w:sz w:val="28"/>
          <w:highlight w:val="none"/>
        </w:rPr>
        <w:t>合同条款前附表</w:t>
      </w:r>
    </w:p>
    <w:tbl>
      <w:tblPr>
        <w:tblStyle w:val="21"/>
        <w:tblpPr w:leftFromText="180" w:rightFromText="180" w:vertAnchor="text" w:horzAnchor="margin" w:tblpY="69"/>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7740"/>
      </w:tblGrid>
      <w:tr w14:paraId="08BA4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828" w:type="dxa"/>
            <w:noWrap w:val="0"/>
            <w:vAlign w:val="center"/>
          </w:tcPr>
          <w:p w14:paraId="12161E49">
            <w:pPr>
              <w:spacing w:line="360" w:lineRule="auto"/>
              <w:jc w:val="center"/>
              <w:rPr>
                <w:b/>
                <w:color w:val="auto"/>
                <w:sz w:val="24"/>
                <w:highlight w:val="none"/>
              </w:rPr>
            </w:pPr>
            <w:r>
              <w:rPr>
                <w:rFonts w:hint="eastAsia"/>
                <w:b/>
                <w:color w:val="auto"/>
                <w:sz w:val="24"/>
                <w:highlight w:val="none"/>
              </w:rPr>
              <w:t>序号</w:t>
            </w:r>
          </w:p>
        </w:tc>
        <w:tc>
          <w:tcPr>
            <w:tcW w:w="1080" w:type="dxa"/>
            <w:noWrap w:val="0"/>
            <w:vAlign w:val="center"/>
          </w:tcPr>
          <w:p w14:paraId="4C0B053D">
            <w:pPr>
              <w:spacing w:line="360" w:lineRule="auto"/>
              <w:jc w:val="center"/>
              <w:rPr>
                <w:b/>
                <w:color w:val="auto"/>
                <w:sz w:val="24"/>
                <w:highlight w:val="none"/>
              </w:rPr>
            </w:pPr>
            <w:r>
              <w:rPr>
                <w:rFonts w:hint="eastAsia"/>
                <w:b/>
                <w:color w:val="auto"/>
                <w:sz w:val="24"/>
                <w:highlight w:val="none"/>
              </w:rPr>
              <w:t>条款号</w:t>
            </w:r>
          </w:p>
        </w:tc>
        <w:tc>
          <w:tcPr>
            <w:tcW w:w="7740" w:type="dxa"/>
            <w:noWrap w:val="0"/>
            <w:vAlign w:val="center"/>
          </w:tcPr>
          <w:p w14:paraId="1E40A8A4">
            <w:pPr>
              <w:spacing w:line="360" w:lineRule="auto"/>
              <w:jc w:val="center"/>
              <w:rPr>
                <w:b/>
                <w:color w:val="auto"/>
                <w:sz w:val="24"/>
                <w:highlight w:val="none"/>
              </w:rPr>
            </w:pPr>
            <w:r>
              <w:rPr>
                <w:rFonts w:hint="eastAsia"/>
                <w:b/>
                <w:color w:val="auto"/>
                <w:sz w:val="24"/>
                <w:highlight w:val="none"/>
              </w:rPr>
              <w:t>内          容</w:t>
            </w:r>
          </w:p>
        </w:tc>
      </w:tr>
      <w:tr w14:paraId="546B1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4" w:hRule="atLeast"/>
        </w:trPr>
        <w:tc>
          <w:tcPr>
            <w:tcW w:w="828" w:type="dxa"/>
            <w:noWrap w:val="0"/>
            <w:vAlign w:val="top"/>
          </w:tcPr>
          <w:p w14:paraId="1D1F100A">
            <w:pPr>
              <w:spacing w:line="360" w:lineRule="auto"/>
              <w:jc w:val="center"/>
              <w:rPr>
                <w:b/>
                <w:color w:val="auto"/>
                <w:szCs w:val="21"/>
                <w:highlight w:val="none"/>
              </w:rPr>
            </w:pPr>
          </w:p>
        </w:tc>
        <w:tc>
          <w:tcPr>
            <w:tcW w:w="1080" w:type="dxa"/>
            <w:noWrap w:val="0"/>
            <w:vAlign w:val="top"/>
          </w:tcPr>
          <w:p w14:paraId="365B2069">
            <w:pPr>
              <w:spacing w:line="360" w:lineRule="auto"/>
              <w:jc w:val="center"/>
              <w:rPr>
                <w:b/>
                <w:color w:val="auto"/>
                <w:szCs w:val="21"/>
                <w:highlight w:val="none"/>
              </w:rPr>
            </w:pPr>
          </w:p>
          <w:p w14:paraId="3B9A1A75">
            <w:pPr>
              <w:spacing w:line="360" w:lineRule="auto"/>
              <w:jc w:val="center"/>
              <w:rPr>
                <w:b/>
                <w:color w:val="auto"/>
                <w:szCs w:val="21"/>
                <w:highlight w:val="none"/>
              </w:rPr>
            </w:pPr>
          </w:p>
          <w:p w14:paraId="13B4349E">
            <w:pPr>
              <w:spacing w:line="360" w:lineRule="auto"/>
              <w:jc w:val="center"/>
              <w:rPr>
                <w:b/>
                <w:color w:val="auto"/>
                <w:szCs w:val="21"/>
                <w:highlight w:val="none"/>
              </w:rPr>
            </w:pPr>
          </w:p>
          <w:p w14:paraId="32213114">
            <w:pPr>
              <w:spacing w:line="360" w:lineRule="auto"/>
              <w:jc w:val="center"/>
              <w:rPr>
                <w:b/>
                <w:color w:val="auto"/>
                <w:szCs w:val="21"/>
                <w:highlight w:val="none"/>
              </w:rPr>
            </w:pPr>
          </w:p>
          <w:p w14:paraId="4C3489DF">
            <w:pPr>
              <w:spacing w:line="360" w:lineRule="auto"/>
              <w:jc w:val="center"/>
              <w:rPr>
                <w:b/>
                <w:color w:val="auto"/>
                <w:szCs w:val="21"/>
                <w:highlight w:val="none"/>
              </w:rPr>
            </w:pPr>
          </w:p>
          <w:p w14:paraId="2A5DA5E0">
            <w:pPr>
              <w:spacing w:line="360" w:lineRule="auto"/>
              <w:jc w:val="center"/>
              <w:rPr>
                <w:b/>
                <w:color w:val="auto"/>
                <w:szCs w:val="21"/>
                <w:highlight w:val="none"/>
              </w:rPr>
            </w:pPr>
          </w:p>
        </w:tc>
        <w:tc>
          <w:tcPr>
            <w:tcW w:w="7740" w:type="dxa"/>
            <w:noWrap w:val="0"/>
            <w:vAlign w:val="top"/>
          </w:tcPr>
          <w:p w14:paraId="4346F49B">
            <w:pPr>
              <w:spacing w:line="360" w:lineRule="auto"/>
              <w:rPr>
                <w:color w:val="auto"/>
                <w:sz w:val="24"/>
                <w:highlight w:val="none"/>
              </w:rPr>
            </w:pPr>
            <w:r>
              <w:rPr>
                <w:rFonts w:hint="eastAsia"/>
                <w:color w:val="auto"/>
                <w:sz w:val="24"/>
                <w:highlight w:val="none"/>
              </w:rPr>
              <w:t xml:space="preserve">付款应按下列条件进行： </w:t>
            </w:r>
          </w:p>
          <w:p w14:paraId="098A0DBE">
            <w:pPr>
              <w:suppressAutoHyphens/>
              <w:spacing w:line="360" w:lineRule="auto"/>
              <w:rPr>
                <w:color w:val="auto"/>
                <w:sz w:val="24"/>
                <w:highlight w:val="none"/>
              </w:rPr>
            </w:pPr>
            <w:r>
              <w:rPr>
                <w:rFonts w:hint="eastAsia"/>
                <w:color w:val="auto"/>
                <w:sz w:val="24"/>
                <w:highlight w:val="none"/>
              </w:rPr>
              <w:t>1、预付款：无预付款。</w:t>
            </w:r>
          </w:p>
          <w:p w14:paraId="03BD5A86">
            <w:pPr>
              <w:pStyle w:val="30"/>
              <w:spacing w:line="360" w:lineRule="auto"/>
              <w:jc w:val="both"/>
              <w:rPr>
                <w:rFonts w:ascii="Times New Roman"/>
                <w:color w:val="auto"/>
                <w:kern w:val="2"/>
                <w:highlight w:val="none"/>
              </w:rPr>
            </w:pPr>
            <w:r>
              <w:rPr>
                <w:rFonts w:hint="eastAsia" w:ascii="Times New Roman"/>
                <w:color w:val="auto"/>
                <w:kern w:val="2"/>
                <w:highlight w:val="none"/>
              </w:rPr>
              <w:t>2、工程进度款：按月支付进度款，支付当月审定完成工程量进度款的</w:t>
            </w:r>
            <w:r>
              <w:rPr>
                <w:rFonts w:ascii="Times New Roman"/>
                <w:color w:val="auto"/>
                <w:kern w:val="2"/>
                <w:highlight w:val="none"/>
              </w:rPr>
              <w:t>8</w:t>
            </w:r>
            <w:r>
              <w:rPr>
                <w:rFonts w:hint="eastAsia" w:ascii="Times New Roman"/>
                <w:color w:val="auto"/>
                <w:kern w:val="2"/>
                <w:highlight w:val="none"/>
              </w:rPr>
              <w:t>0%。</w:t>
            </w:r>
          </w:p>
          <w:p w14:paraId="3755217C">
            <w:pPr>
              <w:pStyle w:val="30"/>
              <w:spacing w:line="360" w:lineRule="auto"/>
              <w:jc w:val="both"/>
              <w:rPr>
                <w:rFonts w:ascii="Times New Roman"/>
                <w:color w:val="auto"/>
                <w:kern w:val="2"/>
                <w:highlight w:val="none"/>
              </w:rPr>
            </w:pPr>
            <w:r>
              <w:rPr>
                <w:rFonts w:hint="eastAsia" w:ascii="Times New Roman"/>
                <w:color w:val="auto"/>
                <w:kern w:val="2"/>
                <w:highlight w:val="none"/>
              </w:rPr>
              <w:t>3、工程结算款：工程完工、资料提交、竣工验收合格后（乙方提交完整资料后，业主28天内完成结算审核工作），经甲方造价咨询机构审核后，乙方须根据结算审定总价按国家当期税率开具增值税专用发票，甲方根据乙方提供的增值税专用发票支付工程结算款至结算总价的8</w:t>
            </w:r>
            <w:r>
              <w:rPr>
                <w:rFonts w:ascii="Times New Roman"/>
                <w:color w:val="auto"/>
                <w:kern w:val="2"/>
                <w:highlight w:val="none"/>
              </w:rPr>
              <w:t>0</w:t>
            </w:r>
            <w:r>
              <w:rPr>
                <w:rFonts w:hint="eastAsia" w:ascii="Times New Roman"/>
                <w:color w:val="auto"/>
                <w:kern w:val="2"/>
                <w:highlight w:val="none"/>
              </w:rPr>
              <w:t>%。由</w:t>
            </w:r>
            <w:r>
              <w:rPr>
                <w:rFonts w:hint="eastAsia" w:ascii="Times New Roman"/>
                <w:color w:val="auto"/>
                <w:kern w:val="2"/>
                <w:highlight w:val="none"/>
                <w:lang w:val="en-US" w:eastAsia="zh-CN"/>
              </w:rPr>
              <w:t>甲方委托</w:t>
            </w:r>
            <w:r>
              <w:rPr>
                <w:rFonts w:hint="eastAsia" w:ascii="Times New Roman"/>
                <w:color w:val="auto"/>
                <w:kern w:val="2"/>
                <w:highlight w:val="none"/>
              </w:rPr>
              <w:t xml:space="preserve">审计部门进行该工程审计且提交审计报告后支付至最终结算总价的97%。 </w:t>
            </w:r>
          </w:p>
          <w:p w14:paraId="101A6369">
            <w:pPr>
              <w:pStyle w:val="30"/>
              <w:spacing w:line="360" w:lineRule="auto"/>
              <w:jc w:val="both"/>
              <w:rPr>
                <w:rFonts w:ascii="Times New Roman"/>
                <w:color w:val="auto"/>
                <w:kern w:val="2"/>
                <w:highlight w:val="none"/>
              </w:rPr>
            </w:pPr>
            <w:r>
              <w:rPr>
                <w:rFonts w:hint="eastAsia" w:ascii="Times New Roman"/>
                <w:color w:val="auto"/>
                <w:kern w:val="2"/>
                <w:highlight w:val="none"/>
              </w:rPr>
              <w:t>4、质保金：工程验收合格交付业主使用满</w:t>
            </w:r>
            <w:r>
              <w:rPr>
                <w:rFonts w:ascii="Times New Roman"/>
                <w:color w:val="auto"/>
                <w:kern w:val="2"/>
                <w:highlight w:val="none"/>
              </w:rPr>
              <w:t>2</w:t>
            </w:r>
            <w:r>
              <w:rPr>
                <w:rFonts w:hint="eastAsia" w:ascii="Times New Roman"/>
                <w:color w:val="auto"/>
                <w:kern w:val="2"/>
                <w:highlight w:val="none"/>
              </w:rPr>
              <w:t>年，经甲方验收无质量问题后，一个月内甲方无息支付3</w:t>
            </w:r>
            <w:r>
              <w:rPr>
                <w:rFonts w:ascii="Times New Roman"/>
                <w:color w:val="auto"/>
                <w:kern w:val="2"/>
                <w:highlight w:val="none"/>
              </w:rPr>
              <w:t>%</w:t>
            </w:r>
            <w:r>
              <w:rPr>
                <w:rFonts w:hint="eastAsia" w:ascii="Times New Roman"/>
                <w:color w:val="auto"/>
                <w:kern w:val="2"/>
                <w:highlight w:val="none"/>
              </w:rPr>
              <w:t>质保金。</w:t>
            </w:r>
          </w:p>
          <w:p w14:paraId="05BAB9EF">
            <w:pPr>
              <w:spacing w:line="360" w:lineRule="auto"/>
              <w:rPr>
                <w:color w:val="auto"/>
                <w:sz w:val="24"/>
                <w:highlight w:val="none"/>
              </w:rPr>
            </w:pPr>
            <w:r>
              <w:rPr>
                <w:rFonts w:hint="eastAsia"/>
                <w:color w:val="auto"/>
                <w:sz w:val="24"/>
                <w:highlight w:val="none"/>
              </w:rPr>
              <w:t>5、税率，按国家相关税率执行。</w:t>
            </w:r>
          </w:p>
          <w:p w14:paraId="39DB5090">
            <w:pPr>
              <w:spacing w:line="360" w:lineRule="auto"/>
              <w:rPr>
                <w:color w:val="auto"/>
                <w:sz w:val="24"/>
                <w:highlight w:val="none"/>
              </w:rPr>
            </w:pPr>
            <w:r>
              <w:rPr>
                <w:rFonts w:hint="eastAsia"/>
                <w:color w:val="auto"/>
                <w:sz w:val="24"/>
                <w:highlight w:val="none"/>
              </w:rPr>
              <w:t>6、付款方式为：现金或银行承兑汇票。</w:t>
            </w:r>
          </w:p>
        </w:tc>
      </w:tr>
    </w:tbl>
    <w:p w14:paraId="32743250">
      <w:pPr>
        <w:jc w:val="center"/>
        <w:rPr>
          <w:b/>
          <w:color w:val="auto"/>
          <w:sz w:val="36"/>
          <w:szCs w:val="36"/>
          <w:highlight w:val="none"/>
        </w:rPr>
        <w:sectPr>
          <w:pgSz w:w="11906" w:h="16838"/>
          <w:pgMar w:top="2098" w:right="1474" w:bottom="1984" w:left="1587" w:header="851" w:footer="1417" w:gutter="0"/>
          <w:pgBorders>
            <w:top w:val="none" w:sz="0" w:space="0"/>
            <w:left w:val="none" w:sz="0" w:space="0"/>
            <w:bottom w:val="none" w:sz="0" w:space="0"/>
            <w:right w:val="none" w:sz="0" w:space="0"/>
          </w:pgBorders>
          <w:pgNumType w:fmt="decimal"/>
          <w:cols w:space="720" w:num="1"/>
          <w:titlePg/>
          <w:rtlGutter w:val="0"/>
          <w:docGrid w:type="lines" w:linePitch="312" w:charSpace="0"/>
        </w:sectPr>
      </w:pPr>
      <w:bookmarkStart w:id="393" w:name="_Toc120415986"/>
    </w:p>
    <w:bookmarkEnd w:id="393"/>
    <w:p w14:paraId="26AD0FA0">
      <w:pPr>
        <w:spacing w:line="240" w:lineRule="atLeast"/>
        <w:jc w:val="both"/>
        <w:rPr>
          <w:rFonts w:ascii="Times New Roman" w:hAnsi="Times New Roman" w:eastAsia="华文中宋"/>
          <w:b/>
          <w:color w:val="auto"/>
          <w:sz w:val="52"/>
          <w:szCs w:val="52"/>
          <w:highlight w:val="none"/>
        </w:rPr>
      </w:pPr>
    </w:p>
    <w:p w14:paraId="53B88689">
      <w:pPr>
        <w:spacing w:line="240" w:lineRule="atLeast"/>
        <w:jc w:val="center"/>
        <w:rPr>
          <w:rFonts w:ascii="Times New Roman" w:hAnsi="Times New Roman" w:eastAsia="华文中宋"/>
          <w:b/>
          <w:color w:val="auto"/>
          <w:sz w:val="52"/>
          <w:szCs w:val="52"/>
          <w:highlight w:val="none"/>
        </w:rPr>
      </w:pPr>
    </w:p>
    <w:p w14:paraId="55C925CB">
      <w:pPr>
        <w:spacing w:line="240" w:lineRule="atLeast"/>
        <w:jc w:val="center"/>
        <w:rPr>
          <w:rFonts w:hint="eastAsia" w:ascii="Times New Roman" w:hAnsi="Times New Roman" w:eastAsia="华文中宋"/>
          <w:b/>
          <w:color w:val="auto"/>
          <w:sz w:val="72"/>
          <w:szCs w:val="52"/>
          <w:highlight w:val="none"/>
        </w:rPr>
      </w:pPr>
      <w:r>
        <w:rPr>
          <w:rFonts w:ascii="Times New Roman" w:hAnsi="Times New Roman" w:eastAsia="华文中宋"/>
          <w:b/>
          <w:color w:val="auto"/>
          <w:sz w:val="72"/>
          <w:szCs w:val="52"/>
          <w:highlight w:val="none"/>
        </w:rPr>
        <w:t>建设工程施工合同</w:t>
      </w:r>
    </w:p>
    <w:p w14:paraId="7631439E">
      <w:pPr>
        <w:pStyle w:val="20"/>
        <w:ind w:firstLine="468"/>
        <w:rPr>
          <w:rFonts w:hint="eastAsia"/>
          <w:color w:val="auto"/>
          <w:highlight w:val="none"/>
        </w:rPr>
      </w:pPr>
    </w:p>
    <w:p w14:paraId="5FD44EDC">
      <w:pPr>
        <w:spacing w:line="240" w:lineRule="atLeast"/>
        <w:jc w:val="center"/>
        <w:rPr>
          <w:rFonts w:ascii="Times New Roman" w:hAnsi="Times New Roman" w:eastAsia="黑体"/>
          <w:b/>
          <w:color w:val="auto"/>
          <w:sz w:val="72"/>
          <w:szCs w:val="72"/>
          <w:highlight w:val="none"/>
        </w:rPr>
      </w:pPr>
    </w:p>
    <w:p w14:paraId="04F897AE">
      <w:pPr>
        <w:spacing w:line="240" w:lineRule="atLeast"/>
        <w:jc w:val="center"/>
        <w:rPr>
          <w:rFonts w:ascii="Times New Roman" w:hAnsi="Times New Roman" w:eastAsia="楷体_GB2312"/>
          <w:b/>
          <w:color w:val="auto"/>
          <w:sz w:val="72"/>
          <w:szCs w:val="72"/>
          <w:highlight w:val="none"/>
        </w:rPr>
      </w:pPr>
    </w:p>
    <w:p w14:paraId="0677C4C6">
      <w:pPr>
        <w:spacing w:line="240" w:lineRule="atLeast"/>
        <w:rPr>
          <w:bCs/>
          <w:color w:val="auto"/>
          <w:sz w:val="32"/>
          <w:highlight w:val="none"/>
          <w:u w:val="single"/>
        </w:rPr>
      </w:pPr>
      <w:r>
        <w:rPr>
          <w:rFonts w:hint="eastAsia"/>
          <w:bCs/>
          <w:color w:val="auto"/>
          <w:sz w:val="32"/>
          <w:highlight w:val="none"/>
        </w:rPr>
        <w:t>合同</w:t>
      </w:r>
      <w:r>
        <w:rPr>
          <w:bCs/>
          <w:color w:val="auto"/>
          <w:sz w:val="32"/>
          <w:highlight w:val="none"/>
        </w:rPr>
        <w:t>编号：</w:t>
      </w:r>
      <w:r>
        <w:rPr>
          <w:bCs/>
          <w:color w:val="auto"/>
          <w:sz w:val="32"/>
          <w:highlight w:val="none"/>
          <w:u w:val="single"/>
        </w:rPr>
        <w:t xml:space="preserve">                     </w:t>
      </w:r>
    </w:p>
    <w:p w14:paraId="1E67BA4B">
      <w:pPr>
        <w:spacing w:line="240" w:lineRule="atLeast"/>
        <w:jc w:val="center"/>
        <w:rPr>
          <w:rFonts w:ascii="Times New Roman" w:hAnsi="Times New Roman" w:eastAsia="黑体"/>
          <w:b/>
          <w:color w:val="auto"/>
          <w:sz w:val="52"/>
          <w:szCs w:val="52"/>
          <w:highlight w:val="none"/>
        </w:rPr>
      </w:pPr>
    </w:p>
    <w:p w14:paraId="63ACBC86">
      <w:pPr>
        <w:spacing w:line="240" w:lineRule="atLeast"/>
        <w:rPr>
          <w:bCs/>
          <w:color w:val="auto"/>
          <w:sz w:val="32"/>
          <w:highlight w:val="none"/>
          <w:u w:val="single"/>
        </w:rPr>
      </w:pPr>
      <w:r>
        <w:rPr>
          <w:rFonts w:hint="eastAsia"/>
          <w:bCs/>
          <w:color w:val="auto"/>
          <w:sz w:val="32"/>
          <w:highlight w:val="none"/>
        </w:rPr>
        <w:t>工程名称：</w:t>
      </w:r>
      <w:r>
        <w:rPr>
          <w:rFonts w:hint="eastAsia"/>
          <w:bCs/>
          <w:color w:val="auto"/>
          <w:sz w:val="32"/>
          <w:highlight w:val="none"/>
          <w:u w:val="single"/>
          <w:lang w:eastAsia="zh-CN"/>
        </w:rPr>
        <w:t>浙江巨化化工矿业有限公司后塘弄尾矿库闭库及恢复林业生产条件和森林覆盖项目</w:t>
      </w:r>
    </w:p>
    <w:p w14:paraId="1F0535D9">
      <w:pPr>
        <w:spacing w:line="240" w:lineRule="atLeast"/>
        <w:rPr>
          <w:rFonts w:hint="eastAsia"/>
          <w:bCs/>
          <w:color w:val="auto"/>
          <w:sz w:val="32"/>
          <w:highlight w:val="none"/>
        </w:rPr>
      </w:pPr>
    </w:p>
    <w:p w14:paraId="2CCB6967">
      <w:pPr>
        <w:spacing w:line="240" w:lineRule="atLeast"/>
        <w:rPr>
          <w:bCs/>
          <w:color w:val="auto"/>
          <w:sz w:val="32"/>
          <w:highlight w:val="none"/>
          <w:u w:val="single"/>
        </w:rPr>
      </w:pPr>
      <w:r>
        <w:rPr>
          <w:rFonts w:hint="eastAsia"/>
          <w:bCs/>
          <w:color w:val="auto"/>
          <w:sz w:val="32"/>
          <w:highlight w:val="none"/>
        </w:rPr>
        <w:t>工程</w:t>
      </w:r>
      <w:r>
        <w:rPr>
          <w:bCs/>
          <w:color w:val="auto"/>
          <w:sz w:val="32"/>
          <w:highlight w:val="none"/>
        </w:rPr>
        <w:t xml:space="preserve">地点: </w:t>
      </w:r>
      <w:r>
        <w:rPr>
          <w:rFonts w:hint="eastAsia"/>
          <w:bCs/>
          <w:color w:val="auto"/>
          <w:sz w:val="32"/>
          <w:highlight w:val="none"/>
          <w:u w:val="single"/>
          <w:lang w:val="zh-CN"/>
        </w:rPr>
        <w:t>龙游县溪口镇灵山村后塘弄</w:t>
      </w:r>
      <w:r>
        <w:rPr>
          <w:rFonts w:hint="eastAsia"/>
          <w:bCs/>
          <w:color w:val="auto"/>
          <w:sz w:val="32"/>
          <w:highlight w:val="none"/>
          <w:u w:val="single"/>
        </w:rPr>
        <w:t xml:space="preserve"> </w:t>
      </w:r>
    </w:p>
    <w:p w14:paraId="6F535514">
      <w:pPr>
        <w:spacing w:line="240" w:lineRule="atLeast"/>
        <w:rPr>
          <w:rFonts w:ascii="Times New Roman" w:hAnsi="Times New Roman"/>
          <w:b/>
          <w:color w:val="auto"/>
          <w:sz w:val="28"/>
          <w:szCs w:val="28"/>
          <w:highlight w:val="none"/>
        </w:rPr>
      </w:pPr>
    </w:p>
    <w:p w14:paraId="6C9192B7">
      <w:pPr>
        <w:spacing w:line="240" w:lineRule="atLeast"/>
        <w:rPr>
          <w:rFonts w:ascii="宋体" w:hAnsi="宋体"/>
          <w:bCs/>
          <w:color w:val="auto"/>
          <w:sz w:val="28"/>
          <w:highlight w:val="none"/>
          <w:u w:val="single"/>
        </w:rPr>
      </w:pPr>
      <w:r>
        <w:rPr>
          <w:rFonts w:hint="eastAsia"/>
          <w:bCs/>
          <w:color w:val="auto"/>
          <w:sz w:val="32"/>
          <w:highlight w:val="none"/>
        </w:rPr>
        <w:t>发包</w:t>
      </w:r>
      <w:r>
        <w:rPr>
          <w:bCs/>
          <w:color w:val="auto"/>
          <w:sz w:val="32"/>
          <w:highlight w:val="none"/>
        </w:rPr>
        <w:t>人</w:t>
      </w:r>
      <w:r>
        <w:rPr>
          <w:rFonts w:hint="eastAsia" w:ascii="宋体" w:hAnsi="宋体"/>
          <w:bCs/>
          <w:color w:val="auto"/>
          <w:sz w:val="28"/>
          <w:highlight w:val="none"/>
        </w:rPr>
        <w:t>：</w:t>
      </w:r>
      <w:r>
        <w:rPr>
          <w:rFonts w:hint="eastAsia" w:ascii="宋体" w:hAnsi="宋体"/>
          <w:bCs/>
          <w:color w:val="auto"/>
          <w:sz w:val="28"/>
          <w:highlight w:val="none"/>
          <w:u w:val="single"/>
        </w:rPr>
        <w:t xml:space="preserve"> </w:t>
      </w:r>
      <w:r>
        <w:rPr>
          <w:rFonts w:hint="eastAsia" w:ascii="宋体" w:hAnsi="宋体"/>
          <w:bCs/>
          <w:color w:val="auto"/>
          <w:sz w:val="32"/>
          <w:highlight w:val="none"/>
          <w:u w:val="single"/>
          <w:lang w:eastAsia="zh-CN"/>
        </w:rPr>
        <w:t>浙江巨化化工矿业有限公司</w:t>
      </w:r>
      <w:r>
        <w:rPr>
          <w:rFonts w:hint="eastAsia" w:ascii="宋体" w:hAnsi="宋体"/>
          <w:bCs/>
          <w:color w:val="auto"/>
          <w:sz w:val="28"/>
          <w:highlight w:val="none"/>
          <w:u w:val="single"/>
        </w:rPr>
        <w:t xml:space="preserve">   </w:t>
      </w:r>
    </w:p>
    <w:p w14:paraId="0393564C">
      <w:pPr>
        <w:spacing w:line="240" w:lineRule="atLeast"/>
        <w:ind w:firstLine="708" w:firstLineChars="253"/>
        <w:rPr>
          <w:rFonts w:ascii="宋体" w:hAnsi="宋体"/>
          <w:bCs/>
          <w:color w:val="auto"/>
          <w:sz w:val="28"/>
          <w:highlight w:val="none"/>
        </w:rPr>
      </w:pPr>
    </w:p>
    <w:p w14:paraId="48ADF88E">
      <w:pPr>
        <w:spacing w:line="240" w:lineRule="atLeast"/>
        <w:rPr>
          <w:rFonts w:ascii="宋体" w:hAnsi="宋体"/>
          <w:bCs/>
          <w:color w:val="auto"/>
          <w:sz w:val="28"/>
          <w:highlight w:val="none"/>
          <w:u w:val="single"/>
        </w:rPr>
      </w:pPr>
      <w:r>
        <w:rPr>
          <w:rFonts w:hint="eastAsia"/>
          <w:bCs/>
          <w:color w:val="auto"/>
          <w:sz w:val="32"/>
          <w:highlight w:val="none"/>
        </w:rPr>
        <w:t>承包人</w:t>
      </w:r>
      <w:r>
        <w:rPr>
          <w:rFonts w:hint="eastAsia" w:ascii="宋体" w:hAnsi="宋体"/>
          <w:bCs/>
          <w:color w:val="auto"/>
          <w:sz w:val="28"/>
          <w:highlight w:val="none"/>
        </w:rPr>
        <w:t>：</w:t>
      </w:r>
      <w:r>
        <w:rPr>
          <w:rFonts w:hint="eastAsia" w:ascii="宋体" w:hAnsi="宋体"/>
          <w:bCs/>
          <w:color w:val="auto"/>
          <w:sz w:val="28"/>
          <w:highlight w:val="none"/>
          <w:u w:val="single"/>
        </w:rPr>
        <w:t xml:space="preserve">                          </w:t>
      </w:r>
      <w:r>
        <w:rPr>
          <w:rFonts w:ascii="宋体" w:hAnsi="宋体"/>
          <w:bCs/>
          <w:color w:val="auto"/>
          <w:sz w:val="28"/>
          <w:highlight w:val="none"/>
          <w:u w:val="single"/>
        </w:rPr>
        <w:t xml:space="preserve"> </w:t>
      </w:r>
    </w:p>
    <w:p w14:paraId="2FC6AA62">
      <w:pPr>
        <w:spacing w:line="240" w:lineRule="atLeast"/>
        <w:rPr>
          <w:rFonts w:ascii="宋体" w:hAnsi="宋体"/>
          <w:bCs/>
          <w:color w:val="auto"/>
          <w:sz w:val="28"/>
          <w:highlight w:val="none"/>
        </w:rPr>
      </w:pPr>
    </w:p>
    <w:p w14:paraId="707C28ED">
      <w:pPr>
        <w:spacing w:line="240" w:lineRule="atLeast"/>
        <w:jc w:val="both"/>
        <w:rPr>
          <w:rFonts w:ascii="宋体" w:hAnsi="宋体"/>
          <w:color w:val="auto"/>
          <w:sz w:val="36"/>
          <w:szCs w:val="36"/>
          <w:highlight w:val="none"/>
        </w:rPr>
      </w:pPr>
      <w:r>
        <w:rPr>
          <w:bCs/>
          <w:color w:val="auto"/>
          <w:sz w:val="32"/>
          <w:highlight w:val="none"/>
        </w:rPr>
        <w:t xml:space="preserve">签订时间: </w:t>
      </w:r>
      <w:r>
        <w:rPr>
          <w:bCs/>
          <w:color w:val="auto"/>
          <w:sz w:val="32"/>
          <w:highlight w:val="none"/>
          <w:u w:val="single"/>
        </w:rPr>
        <w:t xml:space="preserve">    </w:t>
      </w:r>
      <w:r>
        <w:rPr>
          <w:bCs/>
          <w:color w:val="auto"/>
          <w:sz w:val="32"/>
          <w:highlight w:val="none"/>
        </w:rPr>
        <w:t>年</w:t>
      </w:r>
      <w:r>
        <w:rPr>
          <w:rFonts w:hint="eastAsia"/>
          <w:bCs/>
          <w:color w:val="auto"/>
          <w:sz w:val="32"/>
          <w:highlight w:val="none"/>
          <w:u w:val="single"/>
        </w:rPr>
        <w:t xml:space="preserve"> </w:t>
      </w:r>
      <w:r>
        <w:rPr>
          <w:bCs/>
          <w:color w:val="auto"/>
          <w:sz w:val="32"/>
          <w:highlight w:val="none"/>
          <w:u w:val="single"/>
        </w:rPr>
        <w:t xml:space="preserve">  </w:t>
      </w:r>
      <w:r>
        <w:rPr>
          <w:bCs/>
          <w:color w:val="auto"/>
          <w:sz w:val="32"/>
          <w:highlight w:val="none"/>
        </w:rPr>
        <w:t>月</w:t>
      </w:r>
      <w:r>
        <w:rPr>
          <w:rFonts w:hint="eastAsia"/>
          <w:bCs/>
          <w:color w:val="auto"/>
          <w:sz w:val="32"/>
          <w:highlight w:val="none"/>
          <w:u w:val="single"/>
        </w:rPr>
        <w:t xml:space="preserve"> </w:t>
      </w:r>
      <w:r>
        <w:rPr>
          <w:bCs/>
          <w:color w:val="auto"/>
          <w:sz w:val="32"/>
          <w:highlight w:val="none"/>
          <w:u w:val="single"/>
        </w:rPr>
        <w:t xml:space="preserve">  </w:t>
      </w:r>
      <w:r>
        <w:rPr>
          <w:bCs/>
          <w:color w:val="auto"/>
          <w:sz w:val="32"/>
          <w:highlight w:val="none"/>
        </w:rPr>
        <w:t>日</w:t>
      </w:r>
      <w:bookmarkStart w:id="394" w:name="_Toc72846875"/>
      <w:bookmarkStart w:id="395" w:name="_Toc72846724"/>
    </w:p>
    <w:p w14:paraId="25F18F32">
      <w:pPr>
        <w:pStyle w:val="6"/>
        <w:spacing w:line="240" w:lineRule="atLeast"/>
        <w:jc w:val="center"/>
        <w:rPr>
          <w:rFonts w:ascii="宋体" w:hAnsi="宋体"/>
          <w:color w:val="auto"/>
          <w:sz w:val="36"/>
          <w:szCs w:val="36"/>
          <w:highlight w:val="none"/>
        </w:rPr>
      </w:pPr>
    </w:p>
    <w:p w14:paraId="49DE5C9A">
      <w:pPr>
        <w:rPr>
          <w:color w:val="auto"/>
          <w:highlight w:val="none"/>
        </w:rPr>
      </w:pPr>
    </w:p>
    <w:p w14:paraId="5FBE0BF8">
      <w:pPr>
        <w:rPr>
          <w:color w:val="auto"/>
          <w:highlight w:val="none"/>
        </w:rPr>
      </w:pPr>
    </w:p>
    <w:p w14:paraId="3AC244FB">
      <w:pPr>
        <w:rPr>
          <w:color w:val="auto"/>
          <w:highlight w:val="none"/>
        </w:rPr>
      </w:pPr>
    </w:p>
    <w:p w14:paraId="7EDFA797">
      <w:pPr>
        <w:pStyle w:val="6"/>
        <w:spacing w:line="240" w:lineRule="atLeast"/>
        <w:jc w:val="center"/>
        <w:rPr>
          <w:rFonts w:ascii="宋体" w:hAnsi="宋体"/>
          <w:color w:val="auto"/>
          <w:sz w:val="36"/>
          <w:szCs w:val="36"/>
          <w:highlight w:val="none"/>
        </w:rPr>
      </w:pPr>
      <w:r>
        <w:rPr>
          <w:rFonts w:ascii="宋体" w:hAnsi="宋体"/>
          <w:color w:val="auto"/>
          <w:sz w:val="36"/>
          <w:szCs w:val="36"/>
          <w:highlight w:val="none"/>
        </w:rPr>
        <w:t>第一部分 合同协议书</w:t>
      </w:r>
      <w:bookmarkEnd w:id="394"/>
      <w:bookmarkEnd w:id="395"/>
    </w:p>
    <w:p w14:paraId="2037A91E">
      <w:pPr>
        <w:spacing w:line="360" w:lineRule="auto"/>
        <w:ind w:firstLine="480" w:firstLineChars="200"/>
        <w:rPr>
          <w:rFonts w:hint="eastAsia" w:eastAsia="宋体"/>
          <w:color w:val="auto"/>
          <w:sz w:val="24"/>
          <w:szCs w:val="24"/>
          <w:highlight w:val="none"/>
          <w:u w:val="single"/>
          <w:lang w:eastAsia="zh-CN"/>
        </w:rPr>
      </w:pPr>
      <w:r>
        <w:rPr>
          <w:color w:val="auto"/>
          <w:sz w:val="24"/>
          <w:szCs w:val="24"/>
          <w:highlight w:val="none"/>
        </w:rPr>
        <w:t>发包人（</w:t>
      </w:r>
      <w:r>
        <w:rPr>
          <w:rFonts w:hint="eastAsia"/>
          <w:color w:val="auto"/>
          <w:sz w:val="24"/>
          <w:szCs w:val="24"/>
          <w:highlight w:val="none"/>
        </w:rPr>
        <w:t>甲方</w:t>
      </w:r>
      <w:r>
        <w:rPr>
          <w:color w:val="auto"/>
          <w:sz w:val="24"/>
          <w:szCs w:val="24"/>
          <w:highlight w:val="none"/>
        </w:rPr>
        <w:t>）：</w:t>
      </w:r>
      <w:r>
        <w:rPr>
          <w:rFonts w:hint="eastAsia"/>
          <w:color w:val="auto"/>
          <w:sz w:val="24"/>
          <w:szCs w:val="24"/>
          <w:highlight w:val="none"/>
          <w:u w:val="single"/>
          <w:lang w:eastAsia="zh-CN"/>
        </w:rPr>
        <w:t>浙江巨化化工矿业有限公司</w:t>
      </w:r>
    </w:p>
    <w:p w14:paraId="4B955E3A">
      <w:pPr>
        <w:spacing w:line="360" w:lineRule="auto"/>
        <w:ind w:firstLine="480" w:firstLineChars="200"/>
        <w:rPr>
          <w:color w:val="auto"/>
          <w:sz w:val="24"/>
          <w:szCs w:val="24"/>
          <w:highlight w:val="none"/>
        </w:rPr>
      </w:pPr>
      <w:r>
        <w:rPr>
          <w:color w:val="auto"/>
          <w:sz w:val="24"/>
          <w:szCs w:val="24"/>
          <w:highlight w:val="none"/>
        </w:rPr>
        <w:t>承包人（</w:t>
      </w:r>
      <w:r>
        <w:rPr>
          <w:rFonts w:hint="eastAsia"/>
          <w:color w:val="auto"/>
          <w:sz w:val="24"/>
          <w:szCs w:val="24"/>
          <w:highlight w:val="none"/>
        </w:rPr>
        <w:t>乙方</w:t>
      </w:r>
      <w:r>
        <w:rPr>
          <w:color w:val="auto"/>
          <w:sz w:val="24"/>
          <w:szCs w:val="24"/>
          <w:highlight w:val="none"/>
        </w:rPr>
        <w:t>）：</w:t>
      </w:r>
      <w:r>
        <w:rPr>
          <w:rFonts w:hint="eastAsia"/>
          <w:color w:val="auto"/>
          <w:sz w:val="24"/>
          <w:szCs w:val="24"/>
          <w:highlight w:val="none"/>
          <w:u w:val="single"/>
        </w:rPr>
        <w:t xml:space="preserve">                    </w:t>
      </w:r>
    </w:p>
    <w:p w14:paraId="652C0A7C">
      <w:pPr>
        <w:spacing w:line="360" w:lineRule="auto"/>
        <w:ind w:firstLine="480" w:firstLineChars="200"/>
        <w:rPr>
          <w:color w:val="auto"/>
          <w:sz w:val="24"/>
          <w:szCs w:val="24"/>
          <w:highlight w:val="none"/>
        </w:rPr>
      </w:pPr>
      <w:r>
        <w:rPr>
          <w:rFonts w:hint="eastAsia"/>
          <w:color w:val="auto"/>
          <w:sz w:val="24"/>
          <w:szCs w:val="24"/>
          <w:highlight w:val="none"/>
        </w:rPr>
        <w:t>根据《中华人民共和国民法典》</w:t>
      </w:r>
      <w:r>
        <w:rPr>
          <w:rFonts w:hint="eastAsia"/>
          <w:color w:val="auto"/>
          <w:sz w:val="24"/>
          <w:szCs w:val="24"/>
          <w:highlight w:val="none"/>
          <w:lang w:eastAsia="zh-CN"/>
        </w:rPr>
        <w:t>、</w:t>
      </w:r>
      <w:r>
        <w:rPr>
          <w:rFonts w:hint="eastAsia" w:ascii="宋体" w:hAnsi="宋体"/>
          <w:color w:val="auto"/>
          <w:sz w:val="24"/>
          <w:szCs w:val="24"/>
          <w:highlight w:val="none"/>
        </w:rPr>
        <w:t>《非煤矿山外包工程安全管理暂行办法（2015年修正）》、国家矿山安全监察局《关于加强非煤矿山安全生产工作的指导意见》（矿安</w:t>
      </w:r>
      <w:r>
        <w:rPr>
          <w:rFonts w:hint="eastAsia" w:ascii="宋体" w:hAnsi="宋体" w:cs="宋体"/>
          <w:color w:val="auto"/>
          <w:sz w:val="24"/>
          <w:szCs w:val="24"/>
          <w:highlight w:val="none"/>
        </w:rPr>
        <w:t>[</w:t>
      </w:r>
      <w:r>
        <w:rPr>
          <w:rFonts w:hint="eastAsia" w:ascii="宋体" w:hAnsi="宋体"/>
          <w:color w:val="auto"/>
          <w:sz w:val="24"/>
          <w:szCs w:val="24"/>
          <w:highlight w:val="none"/>
        </w:rPr>
        <w:t>2022</w:t>
      </w:r>
      <w:r>
        <w:rPr>
          <w:rFonts w:hint="eastAsia" w:ascii="宋体" w:hAnsi="宋体" w:cs="宋体"/>
          <w:color w:val="auto"/>
          <w:sz w:val="24"/>
          <w:szCs w:val="24"/>
          <w:highlight w:val="none"/>
        </w:rPr>
        <w:t>]</w:t>
      </w:r>
      <w:r>
        <w:rPr>
          <w:rFonts w:hint="eastAsia" w:ascii="宋体" w:hAnsi="宋体"/>
          <w:color w:val="auto"/>
          <w:sz w:val="24"/>
          <w:szCs w:val="24"/>
          <w:highlight w:val="none"/>
        </w:rPr>
        <w:t>4号）</w:t>
      </w:r>
      <w:r>
        <w:rPr>
          <w:rFonts w:hint="eastAsia"/>
          <w:color w:val="auto"/>
          <w:sz w:val="24"/>
          <w:szCs w:val="24"/>
          <w:highlight w:val="none"/>
        </w:rPr>
        <w:t>及其他有关法律、行政法规，遵循平等、自愿、公平和诚实信用的原则，双方就本建设工程施工事项协商一致，订立本合同。</w:t>
      </w:r>
    </w:p>
    <w:p w14:paraId="0C3A2FDF">
      <w:pPr>
        <w:spacing w:line="360" w:lineRule="auto"/>
        <w:ind w:firstLine="480" w:firstLineChars="200"/>
        <w:rPr>
          <w:color w:val="auto"/>
          <w:sz w:val="24"/>
          <w:szCs w:val="24"/>
          <w:highlight w:val="none"/>
        </w:rPr>
      </w:pPr>
      <w:r>
        <w:rPr>
          <w:rFonts w:hint="eastAsia"/>
          <w:color w:val="auto"/>
          <w:sz w:val="24"/>
          <w:szCs w:val="24"/>
          <w:highlight w:val="none"/>
        </w:rPr>
        <w:t>一</w:t>
      </w:r>
      <w:r>
        <w:rPr>
          <w:color w:val="auto"/>
          <w:sz w:val="24"/>
          <w:szCs w:val="24"/>
          <w:highlight w:val="none"/>
        </w:rPr>
        <w:t>、</w:t>
      </w:r>
      <w:r>
        <w:rPr>
          <w:rFonts w:hint="eastAsia"/>
          <w:color w:val="auto"/>
          <w:sz w:val="24"/>
          <w:szCs w:val="24"/>
          <w:highlight w:val="none"/>
        </w:rPr>
        <w:t>工程概况</w:t>
      </w:r>
    </w:p>
    <w:p w14:paraId="3DF69B64">
      <w:pPr>
        <w:spacing w:line="360" w:lineRule="auto"/>
        <w:ind w:firstLine="480" w:firstLineChars="200"/>
        <w:rPr>
          <w:color w:val="auto"/>
          <w:sz w:val="24"/>
          <w:szCs w:val="24"/>
          <w:highlight w:val="none"/>
        </w:rPr>
      </w:pPr>
      <w:r>
        <w:rPr>
          <w:rFonts w:hint="eastAsia"/>
          <w:color w:val="auto"/>
          <w:sz w:val="24"/>
          <w:szCs w:val="24"/>
          <w:highlight w:val="none"/>
        </w:rPr>
        <w:t>1.工程</w:t>
      </w:r>
      <w:r>
        <w:rPr>
          <w:color w:val="auto"/>
          <w:sz w:val="24"/>
          <w:szCs w:val="24"/>
          <w:highlight w:val="none"/>
        </w:rPr>
        <w:t>概况：</w:t>
      </w:r>
      <w:r>
        <w:rPr>
          <w:rFonts w:hint="eastAsia"/>
          <w:color w:val="auto"/>
          <w:sz w:val="24"/>
          <w:szCs w:val="24"/>
          <w:highlight w:val="none"/>
          <w:u w:val="single"/>
        </w:rPr>
        <w:t xml:space="preserve">                    </w:t>
      </w:r>
      <w:r>
        <w:rPr>
          <w:color w:val="auto"/>
          <w:sz w:val="24"/>
          <w:szCs w:val="24"/>
          <w:highlight w:val="none"/>
        </w:rPr>
        <w:t xml:space="preserve">。 </w:t>
      </w:r>
    </w:p>
    <w:p w14:paraId="26373922">
      <w:pPr>
        <w:spacing w:line="360" w:lineRule="auto"/>
        <w:ind w:firstLine="480" w:firstLineChars="200"/>
        <w:rPr>
          <w:rFonts w:hint="eastAsia"/>
          <w:color w:val="auto"/>
          <w:sz w:val="24"/>
          <w:szCs w:val="24"/>
          <w:highlight w:val="none"/>
          <w:u w:val="single"/>
        </w:rPr>
      </w:pPr>
      <w:r>
        <w:rPr>
          <w:color w:val="auto"/>
          <w:sz w:val="24"/>
          <w:szCs w:val="24"/>
          <w:highlight w:val="none"/>
        </w:rPr>
        <w:t>2</w:t>
      </w:r>
      <w:r>
        <w:rPr>
          <w:rFonts w:hint="eastAsia"/>
          <w:color w:val="auto"/>
          <w:sz w:val="24"/>
          <w:szCs w:val="24"/>
          <w:highlight w:val="none"/>
        </w:rPr>
        <w:t>.工程名称：</w:t>
      </w:r>
      <w:r>
        <w:rPr>
          <w:rFonts w:hint="eastAsia"/>
          <w:color w:val="auto"/>
          <w:sz w:val="24"/>
          <w:szCs w:val="24"/>
          <w:highlight w:val="none"/>
          <w:u w:val="single"/>
        </w:rPr>
        <w:t xml:space="preserve">                    </w:t>
      </w:r>
    </w:p>
    <w:p w14:paraId="13D77A16">
      <w:pPr>
        <w:spacing w:line="360" w:lineRule="auto"/>
        <w:ind w:firstLine="480" w:firstLineChars="200"/>
        <w:rPr>
          <w:color w:val="auto"/>
          <w:sz w:val="24"/>
          <w:szCs w:val="24"/>
          <w:highlight w:val="none"/>
          <w:u w:val="single"/>
        </w:rPr>
      </w:pPr>
      <w:r>
        <w:rPr>
          <w:color w:val="auto"/>
          <w:sz w:val="24"/>
          <w:szCs w:val="24"/>
          <w:highlight w:val="none"/>
        </w:rPr>
        <w:t>3.</w:t>
      </w:r>
      <w:r>
        <w:rPr>
          <w:rFonts w:hint="eastAsia"/>
          <w:color w:val="auto"/>
          <w:sz w:val="24"/>
          <w:szCs w:val="24"/>
          <w:highlight w:val="none"/>
        </w:rPr>
        <w:t>工程地点：</w:t>
      </w:r>
      <w:r>
        <w:rPr>
          <w:rFonts w:hint="eastAsia"/>
          <w:color w:val="auto"/>
          <w:sz w:val="24"/>
          <w:szCs w:val="24"/>
          <w:highlight w:val="none"/>
          <w:u w:val="single"/>
        </w:rPr>
        <w:t xml:space="preserve">                    </w:t>
      </w:r>
    </w:p>
    <w:p w14:paraId="57D73B73">
      <w:pPr>
        <w:spacing w:line="360" w:lineRule="auto"/>
        <w:ind w:firstLine="480" w:firstLineChars="200"/>
        <w:rPr>
          <w:rFonts w:hint="eastAsia"/>
          <w:color w:val="auto"/>
          <w:sz w:val="24"/>
          <w:szCs w:val="24"/>
          <w:highlight w:val="none"/>
          <w:u w:val="single"/>
        </w:rPr>
      </w:pPr>
      <w:r>
        <w:rPr>
          <w:color w:val="auto"/>
          <w:sz w:val="24"/>
          <w:szCs w:val="24"/>
          <w:highlight w:val="none"/>
        </w:rPr>
        <w:t>4</w:t>
      </w:r>
      <w:r>
        <w:rPr>
          <w:rFonts w:hint="eastAsia"/>
          <w:color w:val="auto"/>
          <w:sz w:val="24"/>
          <w:szCs w:val="24"/>
          <w:highlight w:val="none"/>
        </w:rPr>
        <w:t>.工程内容</w:t>
      </w:r>
      <w:r>
        <w:rPr>
          <w:rFonts w:hint="eastAsia"/>
          <w:color w:val="auto"/>
          <w:sz w:val="24"/>
          <w:szCs w:val="24"/>
          <w:highlight w:val="none"/>
          <w:u w:val="single"/>
        </w:rPr>
        <w:t xml:space="preserve">：                    </w:t>
      </w:r>
    </w:p>
    <w:p w14:paraId="2A0B30CE">
      <w:pPr>
        <w:spacing w:line="360" w:lineRule="auto"/>
        <w:ind w:firstLine="480" w:firstLineChars="200"/>
        <w:rPr>
          <w:color w:val="auto"/>
          <w:sz w:val="24"/>
          <w:szCs w:val="24"/>
          <w:highlight w:val="none"/>
        </w:rPr>
      </w:pPr>
      <w:r>
        <w:rPr>
          <w:color w:val="auto"/>
          <w:sz w:val="24"/>
          <w:szCs w:val="24"/>
          <w:highlight w:val="none"/>
        </w:rPr>
        <w:t>5</w:t>
      </w:r>
      <w:r>
        <w:rPr>
          <w:rFonts w:hint="eastAsia"/>
          <w:color w:val="auto"/>
          <w:sz w:val="24"/>
          <w:szCs w:val="24"/>
          <w:highlight w:val="none"/>
        </w:rPr>
        <w:t>.工程立项批准文号：</w:t>
      </w:r>
      <w:r>
        <w:rPr>
          <w:rFonts w:hint="eastAsia"/>
          <w:color w:val="auto"/>
          <w:sz w:val="24"/>
          <w:szCs w:val="24"/>
          <w:highlight w:val="none"/>
          <w:u w:val="single"/>
        </w:rPr>
        <w:t xml:space="preserve">                    。</w:t>
      </w:r>
      <w:r>
        <w:rPr>
          <w:rFonts w:hint="eastAsia"/>
          <w:color w:val="auto"/>
          <w:sz w:val="24"/>
          <w:szCs w:val="24"/>
          <w:highlight w:val="none"/>
        </w:rPr>
        <w:t xml:space="preserve">   </w:t>
      </w:r>
    </w:p>
    <w:p w14:paraId="7AE2D3AD">
      <w:pPr>
        <w:spacing w:line="360" w:lineRule="auto"/>
        <w:ind w:firstLine="480" w:firstLineChars="200"/>
        <w:rPr>
          <w:color w:val="auto"/>
          <w:sz w:val="24"/>
          <w:szCs w:val="24"/>
          <w:highlight w:val="none"/>
          <w:u w:val="single"/>
        </w:rPr>
      </w:pPr>
      <w:r>
        <w:rPr>
          <w:color w:val="auto"/>
          <w:sz w:val="24"/>
          <w:szCs w:val="24"/>
          <w:highlight w:val="none"/>
        </w:rPr>
        <w:t>6.</w:t>
      </w:r>
      <w:r>
        <w:rPr>
          <w:rFonts w:hint="eastAsia"/>
          <w:color w:val="auto"/>
          <w:sz w:val="24"/>
          <w:szCs w:val="24"/>
          <w:highlight w:val="none"/>
        </w:rPr>
        <w:t>资金来源：</w:t>
      </w:r>
      <w:r>
        <w:rPr>
          <w:rFonts w:hint="eastAsia"/>
          <w:color w:val="auto"/>
          <w:sz w:val="24"/>
          <w:szCs w:val="24"/>
          <w:highlight w:val="none"/>
          <w:u w:val="single"/>
        </w:rPr>
        <w:t>企业自筹。</w:t>
      </w:r>
    </w:p>
    <w:p w14:paraId="13A8BF21">
      <w:pPr>
        <w:spacing w:line="360" w:lineRule="auto"/>
        <w:ind w:firstLine="480" w:firstLineChars="200"/>
        <w:rPr>
          <w:color w:val="auto"/>
          <w:sz w:val="24"/>
          <w:szCs w:val="24"/>
          <w:highlight w:val="none"/>
        </w:rPr>
      </w:pPr>
      <w:r>
        <w:rPr>
          <w:rFonts w:hint="eastAsia"/>
          <w:color w:val="auto"/>
          <w:sz w:val="24"/>
          <w:szCs w:val="24"/>
          <w:highlight w:val="none"/>
        </w:rPr>
        <w:t>二</w:t>
      </w:r>
      <w:r>
        <w:rPr>
          <w:color w:val="auto"/>
          <w:sz w:val="24"/>
          <w:szCs w:val="24"/>
          <w:highlight w:val="none"/>
        </w:rPr>
        <w:t>、</w:t>
      </w:r>
      <w:r>
        <w:rPr>
          <w:rFonts w:hint="eastAsia"/>
          <w:color w:val="auto"/>
          <w:sz w:val="24"/>
          <w:szCs w:val="24"/>
          <w:highlight w:val="none"/>
        </w:rPr>
        <w:t>合同工期</w:t>
      </w:r>
      <w:r>
        <w:rPr>
          <w:color w:val="auto"/>
          <w:sz w:val="24"/>
          <w:szCs w:val="24"/>
          <w:highlight w:val="none"/>
        </w:rPr>
        <w:tab/>
      </w:r>
    </w:p>
    <w:p w14:paraId="3DCB856A">
      <w:pPr>
        <w:spacing w:line="360" w:lineRule="auto"/>
        <w:ind w:firstLine="480" w:firstLineChars="200"/>
        <w:rPr>
          <w:color w:val="auto"/>
          <w:sz w:val="24"/>
          <w:szCs w:val="24"/>
          <w:highlight w:val="none"/>
          <w:u w:val="single"/>
        </w:rPr>
      </w:pPr>
      <w:r>
        <w:rPr>
          <w:rFonts w:hint="eastAsia"/>
          <w:color w:val="auto"/>
          <w:sz w:val="24"/>
          <w:szCs w:val="24"/>
          <w:highlight w:val="none"/>
        </w:rPr>
        <w:t>1.工期</w:t>
      </w:r>
      <w:r>
        <w:rPr>
          <w:color w:val="auto"/>
          <w:sz w:val="24"/>
          <w:szCs w:val="24"/>
          <w:highlight w:val="none"/>
        </w:rPr>
        <w:t>：</w:t>
      </w:r>
      <w:r>
        <w:rPr>
          <w:rFonts w:hint="eastAsia"/>
          <w:color w:val="auto"/>
          <w:sz w:val="24"/>
          <w:szCs w:val="24"/>
          <w:highlight w:val="none"/>
          <w:u w:val="single"/>
        </w:rPr>
        <w:t xml:space="preserve">                    </w:t>
      </w:r>
    </w:p>
    <w:p w14:paraId="3FE9BC73">
      <w:pPr>
        <w:spacing w:line="360" w:lineRule="auto"/>
        <w:ind w:firstLine="480" w:firstLineChars="200"/>
        <w:rPr>
          <w:color w:val="auto"/>
          <w:sz w:val="24"/>
          <w:szCs w:val="24"/>
          <w:highlight w:val="none"/>
        </w:rPr>
      </w:pPr>
      <w:r>
        <w:rPr>
          <w:color w:val="auto"/>
          <w:sz w:val="24"/>
          <w:szCs w:val="24"/>
          <w:highlight w:val="none"/>
        </w:rPr>
        <w:t>2.</w:t>
      </w:r>
      <w:r>
        <w:rPr>
          <w:rFonts w:hint="eastAsia"/>
          <w:color w:val="auto"/>
          <w:sz w:val="24"/>
          <w:szCs w:val="24"/>
          <w:highlight w:val="none"/>
        </w:rPr>
        <w:t>工期顺延：如遇不可抗力等原因影响，经甲方及监理批准后工期顺延。</w:t>
      </w:r>
    </w:p>
    <w:p w14:paraId="4C0C1E25">
      <w:pPr>
        <w:spacing w:line="360" w:lineRule="auto"/>
        <w:ind w:firstLine="480" w:firstLineChars="200"/>
        <w:rPr>
          <w:color w:val="auto"/>
          <w:sz w:val="24"/>
          <w:szCs w:val="24"/>
          <w:highlight w:val="none"/>
        </w:rPr>
      </w:pPr>
      <w:r>
        <w:rPr>
          <w:color w:val="auto"/>
          <w:sz w:val="24"/>
          <w:szCs w:val="24"/>
          <w:highlight w:val="none"/>
        </w:rPr>
        <w:t>3.</w:t>
      </w:r>
      <w:r>
        <w:rPr>
          <w:rFonts w:hint="eastAsia"/>
          <w:color w:val="auto"/>
          <w:sz w:val="24"/>
          <w:szCs w:val="24"/>
          <w:highlight w:val="none"/>
        </w:rPr>
        <w:t>工程质量标准：</w:t>
      </w:r>
      <w:r>
        <w:rPr>
          <w:rFonts w:hint="eastAsia"/>
          <w:color w:val="auto"/>
          <w:sz w:val="24"/>
          <w:szCs w:val="24"/>
          <w:highlight w:val="none"/>
          <w:u w:val="single"/>
        </w:rPr>
        <w:t xml:space="preserve">                    </w:t>
      </w:r>
    </w:p>
    <w:p w14:paraId="1EEE0A9C">
      <w:pPr>
        <w:spacing w:line="360" w:lineRule="auto"/>
        <w:ind w:firstLine="480" w:firstLineChars="200"/>
        <w:rPr>
          <w:color w:val="auto"/>
          <w:sz w:val="24"/>
          <w:szCs w:val="24"/>
          <w:highlight w:val="none"/>
        </w:rPr>
      </w:pPr>
      <w:r>
        <w:rPr>
          <w:rFonts w:hint="eastAsia"/>
          <w:color w:val="auto"/>
          <w:sz w:val="24"/>
          <w:szCs w:val="24"/>
          <w:highlight w:val="none"/>
        </w:rPr>
        <w:t>三</w:t>
      </w:r>
      <w:r>
        <w:rPr>
          <w:color w:val="auto"/>
          <w:sz w:val="24"/>
          <w:szCs w:val="24"/>
          <w:highlight w:val="none"/>
        </w:rPr>
        <w:t>、</w:t>
      </w:r>
      <w:r>
        <w:rPr>
          <w:rFonts w:hint="eastAsia"/>
          <w:color w:val="auto"/>
          <w:sz w:val="24"/>
          <w:szCs w:val="24"/>
          <w:highlight w:val="none"/>
        </w:rPr>
        <w:t xml:space="preserve">合同价款 </w:t>
      </w:r>
    </w:p>
    <w:p w14:paraId="6BAF04F8">
      <w:pPr>
        <w:spacing w:line="360" w:lineRule="auto"/>
        <w:ind w:firstLine="480" w:firstLineChars="200"/>
        <w:rPr>
          <w:color w:val="auto"/>
          <w:sz w:val="24"/>
          <w:szCs w:val="24"/>
          <w:highlight w:val="none"/>
        </w:rPr>
      </w:pPr>
      <w:r>
        <w:rPr>
          <w:rFonts w:hint="eastAsia"/>
          <w:color w:val="auto"/>
          <w:sz w:val="24"/>
          <w:szCs w:val="24"/>
          <w:highlight w:val="none"/>
        </w:rPr>
        <w:t>1.暂定总价：</w:t>
      </w:r>
      <w:r>
        <w:rPr>
          <w:rFonts w:hint="eastAsia"/>
          <w:color w:val="auto"/>
          <w:sz w:val="24"/>
          <w:szCs w:val="24"/>
          <w:highlight w:val="none"/>
          <w:u w:val="single"/>
        </w:rPr>
        <w:t xml:space="preserve">                          </w:t>
      </w:r>
      <w:r>
        <w:rPr>
          <w:rFonts w:hint="eastAsia"/>
          <w:color w:val="auto"/>
          <w:sz w:val="24"/>
          <w:szCs w:val="24"/>
          <w:highlight w:val="none"/>
        </w:rPr>
        <w:t>本工程最终费用以工程结算审计额为准。（备注：若该项目须经政府审计部门审计，则工程结算审计指政府审计部门的审计，最终审计总价以政府审计报告为准；若该项目无须政府审计部门审计，工程结算审计指业主或者业主上级主管部门委托的复审，最终审计总价以复审审计报告为准）。</w:t>
      </w:r>
    </w:p>
    <w:p w14:paraId="7C77C982">
      <w:pPr>
        <w:spacing w:line="360" w:lineRule="auto"/>
        <w:ind w:firstLine="480" w:firstLineChars="200"/>
        <w:rPr>
          <w:color w:val="auto"/>
          <w:sz w:val="24"/>
          <w:szCs w:val="24"/>
          <w:highlight w:val="none"/>
        </w:rPr>
      </w:pPr>
      <w:r>
        <w:rPr>
          <w:rFonts w:hint="eastAsia"/>
          <w:color w:val="auto"/>
          <w:sz w:val="24"/>
          <w:szCs w:val="24"/>
          <w:highlight w:val="none"/>
        </w:rPr>
        <w:t>2.合同价格形</w:t>
      </w:r>
      <w:r>
        <w:rPr>
          <w:rFonts w:hint="eastAsia"/>
          <w:color w:val="auto"/>
          <w:sz w:val="24"/>
          <w:szCs w:val="24"/>
          <w:highlight w:val="none"/>
          <w:u w:val="single"/>
        </w:rPr>
        <w:t>式：</w:t>
      </w:r>
      <w:r>
        <w:rPr>
          <w:rFonts w:hint="eastAsia"/>
          <w:b/>
          <w:color w:val="auto"/>
          <w:sz w:val="24"/>
          <w:szCs w:val="24"/>
          <w:highlight w:val="none"/>
          <w:u w:val="single"/>
        </w:rPr>
        <w:t>固定综合单价。</w:t>
      </w:r>
    </w:p>
    <w:p w14:paraId="31D1EA3E">
      <w:pPr>
        <w:spacing w:line="360" w:lineRule="auto"/>
        <w:ind w:firstLine="480" w:firstLineChars="200"/>
        <w:rPr>
          <w:color w:val="auto"/>
          <w:sz w:val="24"/>
          <w:szCs w:val="24"/>
          <w:highlight w:val="none"/>
        </w:rPr>
      </w:pPr>
      <w:r>
        <w:rPr>
          <w:color w:val="auto"/>
          <w:sz w:val="24"/>
          <w:szCs w:val="24"/>
          <w:highlight w:val="none"/>
        </w:rPr>
        <w:t>3</w:t>
      </w:r>
      <w:r>
        <w:rPr>
          <w:rFonts w:hint="eastAsia"/>
          <w:color w:val="auto"/>
          <w:sz w:val="24"/>
          <w:szCs w:val="24"/>
          <w:highlight w:val="none"/>
        </w:rPr>
        <w:t>.本工程预付款：</w:t>
      </w:r>
      <w:r>
        <w:rPr>
          <w:rFonts w:hint="eastAsia"/>
          <w:color w:val="auto"/>
          <w:sz w:val="24"/>
          <w:szCs w:val="24"/>
          <w:highlight w:val="none"/>
          <w:u w:val="single"/>
        </w:rPr>
        <w:t>无</w:t>
      </w:r>
      <w:r>
        <w:rPr>
          <w:rFonts w:hint="eastAsia"/>
          <w:color w:val="auto"/>
          <w:sz w:val="24"/>
          <w:szCs w:val="24"/>
          <w:highlight w:val="none"/>
        </w:rPr>
        <w:t>。</w:t>
      </w:r>
    </w:p>
    <w:p w14:paraId="4EBB7503">
      <w:pPr>
        <w:spacing w:line="360" w:lineRule="auto"/>
        <w:ind w:firstLine="480" w:firstLineChars="200"/>
        <w:rPr>
          <w:color w:val="auto"/>
          <w:sz w:val="24"/>
          <w:szCs w:val="24"/>
          <w:highlight w:val="none"/>
        </w:rPr>
      </w:pPr>
      <w:r>
        <w:rPr>
          <w:rFonts w:hint="eastAsia"/>
          <w:color w:val="auto"/>
          <w:sz w:val="24"/>
          <w:szCs w:val="24"/>
          <w:highlight w:val="none"/>
        </w:rPr>
        <w:t>四、组成合同的文件</w:t>
      </w:r>
    </w:p>
    <w:p w14:paraId="66DFB158">
      <w:pPr>
        <w:pStyle w:val="36"/>
        <w:spacing w:before="0" w:after="0" w:line="360" w:lineRule="auto"/>
        <w:ind w:right="23"/>
        <w:rPr>
          <w:rFonts w:ascii="宋体" w:hAnsi="宋体"/>
          <w:color w:val="auto"/>
          <w:szCs w:val="24"/>
          <w:highlight w:val="none"/>
        </w:rPr>
      </w:pPr>
      <w:r>
        <w:rPr>
          <w:rFonts w:hint="eastAsia" w:ascii="宋体" w:hAnsi="宋体"/>
          <w:color w:val="auto"/>
          <w:szCs w:val="24"/>
          <w:highlight w:val="none"/>
        </w:rPr>
        <w:t>1</w:t>
      </w:r>
      <w:r>
        <w:rPr>
          <w:rFonts w:ascii="宋体" w:hAnsi="宋体"/>
          <w:color w:val="auto"/>
          <w:szCs w:val="24"/>
          <w:highlight w:val="none"/>
        </w:rPr>
        <w:t>.</w:t>
      </w:r>
      <w:r>
        <w:rPr>
          <w:rFonts w:hint="eastAsia" w:ascii="宋体" w:hAnsi="宋体"/>
          <w:color w:val="auto"/>
          <w:szCs w:val="24"/>
          <w:highlight w:val="none"/>
        </w:rPr>
        <w:t>本合同协议书（含</w:t>
      </w:r>
      <w:r>
        <w:rPr>
          <w:rFonts w:ascii="宋体" w:hAnsi="宋体"/>
          <w:color w:val="auto"/>
          <w:szCs w:val="24"/>
          <w:highlight w:val="none"/>
        </w:rPr>
        <w:t>补充协议、合同附件</w:t>
      </w:r>
      <w:r>
        <w:rPr>
          <w:rFonts w:hint="eastAsia" w:ascii="宋体" w:hAnsi="宋体"/>
          <w:color w:val="auto"/>
          <w:szCs w:val="24"/>
          <w:highlight w:val="none"/>
        </w:rPr>
        <w:t>）</w:t>
      </w:r>
    </w:p>
    <w:p w14:paraId="4F6D0139">
      <w:pPr>
        <w:pStyle w:val="36"/>
        <w:spacing w:before="0" w:after="0" w:line="360" w:lineRule="auto"/>
        <w:ind w:right="23"/>
        <w:rPr>
          <w:rFonts w:hint="eastAsia" w:ascii="宋体" w:hAnsi="宋体"/>
          <w:color w:val="auto"/>
          <w:szCs w:val="24"/>
          <w:highlight w:val="none"/>
        </w:rPr>
      </w:pPr>
      <w:r>
        <w:rPr>
          <w:rFonts w:hint="eastAsia" w:ascii="宋体" w:hAnsi="宋体"/>
          <w:color w:val="auto"/>
          <w:szCs w:val="24"/>
          <w:highlight w:val="none"/>
        </w:rPr>
        <w:t>2.</w:t>
      </w:r>
      <w:r>
        <w:rPr>
          <w:rFonts w:ascii="宋体" w:hAnsi="宋体"/>
          <w:color w:val="auto"/>
          <w:szCs w:val="24"/>
          <w:highlight w:val="none"/>
        </w:rPr>
        <w:t>中标通知书</w:t>
      </w:r>
    </w:p>
    <w:p w14:paraId="68B8D4DA">
      <w:pPr>
        <w:pStyle w:val="36"/>
        <w:spacing w:before="0" w:after="0" w:line="360" w:lineRule="auto"/>
        <w:ind w:right="23"/>
        <w:rPr>
          <w:rFonts w:hint="eastAsia" w:ascii="宋体" w:hAnsi="宋体"/>
          <w:color w:val="auto"/>
          <w:szCs w:val="24"/>
          <w:highlight w:val="none"/>
        </w:rPr>
      </w:pPr>
      <w:r>
        <w:rPr>
          <w:rFonts w:ascii="宋体" w:hAnsi="宋体"/>
          <w:color w:val="auto"/>
          <w:szCs w:val="24"/>
          <w:highlight w:val="none"/>
        </w:rPr>
        <w:t>3</w:t>
      </w:r>
      <w:r>
        <w:rPr>
          <w:rFonts w:hint="eastAsia" w:ascii="宋体" w:hAnsi="宋体"/>
          <w:color w:val="auto"/>
          <w:szCs w:val="24"/>
          <w:highlight w:val="none"/>
        </w:rPr>
        <w:t>.</w:t>
      </w:r>
      <w:r>
        <w:rPr>
          <w:rFonts w:ascii="宋体" w:hAnsi="宋体"/>
          <w:color w:val="auto"/>
          <w:szCs w:val="24"/>
          <w:highlight w:val="none"/>
        </w:rPr>
        <w:t>投标书及其附件</w:t>
      </w:r>
    </w:p>
    <w:p w14:paraId="2B5E463D">
      <w:pPr>
        <w:pStyle w:val="36"/>
        <w:spacing w:before="0" w:after="0" w:line="360" w:lineRule="auto"/>
        <w:ind w:right="23"/>
        <w:rPr>
          <w:rFonts w:hint="eastAsia" w:ascii="宋体" w:hAnsi="宋体"/>
          <w:color w:val="auto"/>
          <w:szCs w:val="24"/>
          <w:highlight w:val="none"/>
        </w:rPr>
      </w:pPr>
      <w:r>
        <w:rPr>
          <w:rFonts w:ascii="宋体" w:hAnsi="宋体"/>
          <w:color w:val="auto"/>
          <w:szCs w:val="24"/>
          <w:highlight w:val="none"/>
        </w:rPr>
        <w:t>4.招标书及其附件</w:t>
      </w:r>
    </w:p>
    <w:p w14:paraId="23B4D31B">
      <w:pPr>
        <w:pStyle w:val="36"/>
        <w:spacing w:before="0" w:after="0" w:line="360" w:lineRule="auto"/>
        <w:ind w:right="23"/>
        <w:rPr>
          <w:rFonts w:hint="eastAsia" w:ascii="宋体" w:hAnsi="宋体"/>
          <w:color w:val="auto"/>
          <w:szCs w:val="24"/>
          <w:highlight w:val="none"/>
        </w:rPr>
      </w:pPr>
      <w:r>
        <w:rPr>
          <w:rFonts w:ascii="宋体" w:hAnsi="宋体"/>
          <w:color w:val="auto"/>
          <w:szCs w:val="24"/>
          <w:highlight w:val="none"/>
        </w:rPr>
        <w:t>5.本合同专用条款</w:t>
      </w:r>
    </w:p>
    <w:p w14:paraId="746638EA">
      <w:pPr>
        <w:pStyle w:val="36"/>
        <w:spacing w:before="0" w:after="0" w:line="360" w:lineRule="auto"/>
        <w:ind w:right="23"/>
        <w:rPr>
          <w:rFonts w:hint="eastAsia" w:ascii="宋体" w:hAnsi="宋体"/>
          <w:color w:val="auto"/>
          <w:szCs w:val="24"/>
          <w:highlight w:val="none"/>
        </w:rPr>
      </w:pPr>
      <w:r>
        <w:rPr>
          <w:rFonts w:ascii="宋体" w:hAnsi="宋体"/>
          <w:color w:val="auto"/>
          <w:szCs w:val="24"/>
          <w:highlight w:val="none"/>
        </w:rPr>
        <w:t>6.本合同通用条款</w:t>
      </w:r>
    </w:p>
    <w:p w14:paraId="6C2F138F">
      <w:pPr>
        <w:pStyle w:val="36"/>
        <w:spacing w:before="0" w:after="0" w:line="360" w:lineRule="auto"/>
        <w:ind w:right="23"/>
        <w:rPr>
          <w:rFonts w:hint="eastAsia" w:ascii="宋体" w:hAnsi="宋体"/>
          <w:color w:val="auto"/>
          <w:szCs w:val="24"/>
          <w:highlight w:val="none"/>
        </w:rPr>
      </w:pPr>
      <w:r>
        <w:rPr>
          <w:rFonts w:ascii="宋体" w:hAnsi="宋体"/>
          <w:color w:val="auto"/>
          <w:szCs w:val="24"/>
          <w:highlight w:val="none"/>
        </w:rPr>
        <w:t>7.标准、规范及有关技术文件、要求</w:t>
      </w:r>
    </w:p>
    <w:p w14:paraId="61B033BD">
      <w:pPr>
        <w:pStyle w:val="36"/>
        <w:spacing w:before="0" w:after="0" w:line="360" w:lineRule="auto"/>
        <w:ind w:right="23"/>
        <w:rPr>
          <w:rFonts w:hint="eastAsia" w:ascii="宋体" w:hAnsi="宋体"/>
          <w:color w:val="auto"/>
          <w:szCs w:val="24"/>
          <w:highlight w:val="none"/>
        </w:rPr>
      </w:pPr>
      <w:r>
        <w:rPr>
          <w:rFonts w:ascii="宋体" w:hAnsi="宋体"/>
          <w:color w:val="auto"/>
          <w:szCs w:val="24"/>
          <w:highlight w:val="none"/>
        </w:rPr>
        <w:t>8.图纸</w:t>
      </w:r>
    </w:p>
    <w:p w14:paraId="60ACA566">
      <w:pPr>
        <w:pStyle w:val="36"/>
        <w:spacing w:before="0" w:after="0" w:line="360" w:lineRule="auto"/>
        <w:ind w:right="23"/>
        <w:rPr>
          <w:rFonts w:hint="eastAsia" w:ascii="宋体" w:hAnsi="宋体"/>
          <w:color w:val="auto"/>
          <w:szCs w:val="24"/>
          <w:highlight w:val="none"/>
        </w:rPr>
      </w:pPr>
      <w:r>
        <w:rPr>
          <w:rFonts w:ascii="宋体" w:hAnsi="宋体"/>
          <w:color w:val="auto"/>
          <w:szCs w:val="24"/>
          <w:highlight w:val="none"/>
        </w:rPr>
        <w:t>9.工程量清单</w:t>
      </w:r>
    </w:p>
    <w:p w14:paraId="58A12062">
      <w:pPr>
        <w:pStyle w:val="36"/>
        <w:spacing w:before="0" w:after="0" w:line="360" w:lineRule="auto"/>
        <w:ind w:right="23"/>
        <w:rPr>
          <w:rFonts w:ascii="宋体" w:hAnsi="宋体"/>
          <w:color w:val="auto"/>
          <w:szCs w:val="24"/>
          <w:highlight w:val="none"/>
        </w:rPr>
      </w:pPr>
      <w:r>
        <w:rPr>
          <w:rFonts w:ascii="宋体" w:hAnsi="宋体"/>
          <w:color w:val="auto"/>
          <w:szCs w:val="24"/>
          <w:highlight w:val="none"/>
        </w:rPr>
        <w:t>10.工程报价单或预算书</w:t>
      </w:r>
    </w:p>
    <w:p w14:paraId="0FB9BC23">
      <w:pPr>
        <w:spacing w:line="360" w:lineRule="auto"/>
        <w:ind w:firstLine="480" w:firstLineChars="200"/>
        <w:rPr>
          <w:color w:val="auto"/>
          <w:sz w:val="24"/>
          <w:szCs w:val="24"/>
          <w:highlight w:val="none"/>
        </w:rPr>
      </w:pPr>
      <w:r>
        <w:rPr>
          <w:rFonts w:hint="eastAsia"/>
          <w:color w:val="auto"/>
          <w:sz w:val="24"/>
          <w:szCs w:val="24"/>
          <w:highlight w:val="none"/>
        </w:rPr>
        <w:t>五、</w:t>
      </w:r>
      <w:r>
        <w:rPr>
          <w:color w:val="auto"/>
          <w:sz w:val="24"/>
          <w:szCs w:val="24"/>
          <w:highlight w:val="none"/>
        </w:rPr>
        <w:t>本协议书中有关词语含义与本合同部分《通用条款》中分别赋予它们的定义相同。</w:t>
      </w:r>
    </w:p>
    <w:p w14:paraId="65EBBFD1">
      <w:pPr>
        <w:spacing w:line="360" w:lineRule="auto"/>
        <w:ind w:firstLine="480" w:firstLineChars="200"/>
        <w:rPr>
          <w:color w:val="auto"/>
          <w:sz w:val="24"/>
          <w:szCs w:val="24"/>
          <w:highlight w:val="none"/>
        </w:rPr>
      </w:pPr>
      <w:r>
        <w:rPr>
          <w:rFonts w:hint="eastAsia"/>
          <w:color w:val="auto"/>
          <w:sz w:val="24"/>
          <w:szCs w:val="24"/>
          <w:highlight w:val="none"/>
        </w:rPr>
        <w:t>六、</w:t>
      </w:r>
      <w:r>
        <w:rPr>
          <w:color w:val="auto"/>
          <w:sz w:val="24"/>
          <w:szCs w:val="24"/>
          <w:highlight w:val="none"/>
        </w:rPr>
        <w:t>承包人向发包人承诺按照法律、合同和设计文件约定和要求进行施工、竣工、验收</w:t>
      </w:r>
      <w:r>
        <w:rPr>
          <w:rFonts w:hint="eastAsia"/>
          <w:color w:val="auto"/>
          <w:sz w:val="24"/>
          <w:szCs w:val="24"/>
          <w:highlight w:val="none"/>
          <w:lang w:eastAsia="zh-CN"/>
        </w:rPr>
        <w:t>，</w:t>
      </w:r>
      <w:r>
        <w:rPr>
          <w:color w:val="auto"/>
          <w:sz w:val="24"/>
          <w:szCs w:val="24"/>
          <w:highlight w:val="none"/>
        </w:rPr>
        <w:t>并在质量保修期内承担工程质量保修责任。</w:t>
      </w:r>
    </w:p>
    <w:p w14:paraId="009C1266">
      <w:pPr>
        <w:spacing w:line="360" w:lineRule="auto"/>
        <w:ind w:firstLine="480" w:firstLineChars="200"/>
        <w:rPr>
          <w:rFonts w:hint="eastAsia"/>
          <w:color w:val="auto"/>
          <w:sz w:val="24"/>
          <w:szCs w:val="24"/>
          <w:highlight w:val="none"/>
        </w:rPr>
      </w:pPr>
      <w:r>
        <w:rPr>
          <w:rFonts w:hint="eastAsia"/>
          <w:color w:val="auto"/>
          <w:sz w:val="24"/>
          <w:szCs w:val="24"/>
          <w:highlight w:val="none"/>
        </w:rPr>
        <w:t>七</w:t>
      </w:r>
      <w:r>
        <w:rPr>
          <w:color w:val="auto"/>
          <w:sz w:val="24"/>
          <w:szCs w:val="24"/>
          <w:highlight w:val="none"/>
        </w:rPr>
        <w:t>、发包人向承包人承诺按照合同约定的期限和方式支付合同价款及其他应当支付的款项。</w:t>
      </w:r>
    </w:p>
    <w:p w14:paraId="25E79059">
      <w:pPr>
        <w:pStyle w:val="36"/>
        <w:spacing w:before="0" w:after="0" w:line="360" w:lineRule="auto"/>
        <w:ind w:right="23" w:firstLine="120" w:firstLineChars="50"/>
        <w:rPr>
          <w:rFonts w:hint="eastAsia" w:ascii="宋体" w:hAnsi="宋体"/>
          <w:color w:val="auto"/>
          <w:szCs w:val="24"/>
          <w:highlight w:val="none"/>
        </w:rPr>
      </w:pPr>
      <w:r>
        <w:rPr>
          <w:rFonts w:hint="eastAsia" w:ascii="宋体" w:hAnsi="宋体"/>
          <w:color w:val="auto"/>
          <w:szCs w:val="24"/>
          <w:highlight w:val="none"/>
        </w:rPr>
        <w:t>八</w:t>
      </w:r>
      <w:r>
        <w:rPr>
          <w:rFonts w:hint="eastAsia" w:ascii="Calibri" w:hAnsi="Calibri"/>
          <w:color w:val="auto"/>
          <w:szCs w:val="24"/>
          <w:highlight w:val="none"/>
        </w:rPr>
        <w:t>、</w:t>
      </w:r>
      <w:r>
        <w:rPr>
          <w:rFonts w:hint="eastAsia" w:ascii="宋体" w:hAnsi="宋体"/>
          <w:color w:val="auto"/>
          <w:szCs w:val="24"/>
          <w:highlight w:val="none"/>
        </w:rPr>
        <w:t>本合同双方约定</w:t>
      </w:r>
      <w:r>
        <w:rPr>
          <w:rFonts w:hint="eastAsia" w:ascii="宋体" w:hAnsi="宋体"/>
          <w:b/>
          <w:color w:val="auto"/>
          <w:szCs w:val="24"/>
          <w:highlight w:val="none"/>
          <w:u w:val="single"/>
        </w:rPr>
        <w:t xml:space="preserve">   签字、盖章       </w:t>
      </w:r>
      <w:r>
        <w:rPr>
          <w:rFonts w:hint="eastAsia" w:ascii="宋体" w:hAnsi="宋体"/>
          <w:color w:val="auto"/>
          <w:szCs w:val="24"/>
          <w:highlight w:val="none"/>
        </w:rPr>
        <w:t>后生效。</w:t>
      </w:r>
    </w:p>
    <w:p w14:paraId="4A22BA7F">
      <w:pPr>
        <w:pStyle w:val="36"/>
        <w:spacing w:before="0" w:after="0" w:line="360" w:lineRule="auto"/>
        <w:ind w:left="0" w:right="23" w:firstLine="480" w:firstLineChars="200"/>
        <w:rPr>
          <w:rFonts w:ascii="宋体" w:hAnsi="宋体"/>
          <w:color w:val="auto"/>
          <w:szCs w:val="24"/>
          <w:highlight w:val="none"/>
        </w:rPr>
      </w:pPr>
      <w:r>
        <w:rPr>
          <w:rFonts w:hint="eastAsia" w:ascii="宋体" w:hAnsi="宋体"/>
          <w:color w:val="auto"/>
          <w:szCs w:val="24"/>
          <w:highlight w:val="none"/>
        </w:rPr>
        <w:t>九、本合同一式</w:t>
      </w:r>
      <w:r>
        <w:rPr>
          <w:rFonts w:hint="eastAsia" w:ascii="宋体" w:hAnsi="宋体"/>
          <w:color w:val="auto"/>
          <w:szCs w:val="24"/>
          <w:highlight w:val="none"/>
          <w:u w:val="single"/>
        </w:rPr>
        <w:t xml:space="preserve">      </w:t>
      </w:r>
      <w:r>
        <w:rPr>
          <w:rFonts w:hint="eastAsia" w:ascii="宋体" w:hAnsi="宋体"/>
          <w:color w:val="auto"/>
          <w:szCs w:val="24"/>
          <w:highlight w:val="none"/>
        </w:rPr>
        <w:t>份，均具有同等法律效力，发包人执</w:t>
      </w:r>
      <w:r>
        <w:rPr>
          <w:rFonts w:hint="eastAsia" w:ascii="宋体" w:hAnsi="宋体"/>
          <w:color w:val="auto"/>
          <w:szCs w:val="24"/>
          <w:highlight w:val="none"/>
          <w:u w:val="single"/>
        </w:rPr>
        <w:t xml:space="preserve">    </w:t>
      </w:r>
      <w:r>
        <w:rPr>
          <w:rFonts w:hint="eastAsia" w:ascii="宋体" w:hAnsi="宋体"/>
          <w:color w:val="auto"/>
          <w:szCs w:val="24"/>
          <w:highlight w:val="none"/>
        </w:rPr>
        <w:t>份，承包人执</w:t>
      </w:r>
      <w:r>
        <w:rPr>
          <w:rFonts w:hint="eastAsia" w:ascii="宋体" w:hAnsi="宋体"/>
          <w:color w:val="auto"/>
          <w:szCs w:val="24"/>
          <w:highlight w:val="none"/>
          <w:u w:val="single"/>
        </w:rPr>
        <w:t xml:space="preserve">     </w:t>
      </w:r>
      <w:r>
        <w:rPr>
          <w:rFonts w:hint="eastAsia" w:ascii="宋体" w:hAnsi="宋体"/>
          <w:color w:val="auto"/>
          <w:szCs w:val="24"/>
          <w:highlight w:val="none"/>
        </w:rPr>
        <w:t>份。</w:t>
      </w:r>
    </w:p>
    <w:p w14:paraId="347E6FE3">
      <w:pPr>
        <w:tabs>
          <w:tab w:val="left" w:pos="4860"/>
          <w:tab w:val="left" w:pos="5220"/>
        </w:tabs>
        <w:autoSpaceDE w:val="0"/>
        <w:autoSpaceDN w:val="0"/>
        <w:adjustRightInd w:val="0"/>
        <w:spacing w:line="360" w:lineRule="auto"/>
        <w:jc w:val="left"/>
        <w:rPr>
          <w:rFonts w:ascii="宋体" w:hAnsi="宋体"/>
          <w:color w:val="auto"/>
          <w:kern w:val="0"/>
          <w:sz w:val="24"/>
          <w:szCs w:val="24"/>
          <w:highlight w:val="none"/>
        </w:rPr>
      </w:pPr>
    </w:p>
    <w:p w14:paraId="543624CF">
      <w:pPr>
        <w:spacing w:line="360" w:lineRule="auto"/>
        <w:rPr>
          <w:rFonts w:ascii="宋体" w:hAnsi="宋体"/>
          <w:color w:val="auto"/>
          <w:sz w:val="24"/>
          <w:szCs w:val="24"/>
          <w:highlight w:val="none"/>
        </w:rPr>
      </w:pPr>
      <w:r>
        <w:rPr>
          <w:rFonts w:hint="eastAsia" w:ascii="宋体" w:hAnsi="宋体"/>
          <w:color w:val="auto"/>
          <w:sz w:val="24"/>
          <w:szCs w:val="24"/>
          <w:highlight w:val="none"/>
        </w:rPr>
        <w:t>发包人：</w:t>
      </w:r>
      <w:r>
        <w:rPr>
          <w:rFonts w:hint="eastAsia" w:ascii="宋体" w:hAnsi="宋体"/>
          <w:color w:val="auto"/>
          <w:sz w:val="24"/>
          <w:szCs w:val="24"/>
          <w:highlight w:val="none"/>
          <w:lang w:eastAsia="zh-CN"/>
        </w:rPr>
        <w:t>浙江巨化化工矿业有限公司</w:t>
      </w:r>
      <w:r>
        <w:rPr>
          <w:rFonts w:hint="eastAsia" w:ascii="宋体" w:hAnsi="宋体"/>
          <w:color w:val="auto"/>
          <w:sz w:val="24"/>
          <w:szCs w:val="24"/>
          <w:highlight w:val="none"/>
        </w:rPr>
        <w:t xml:space="preserve">（签章） 承包人：（签章） </w:t>
      </w:r>
    </w:p>
    <w:p w14:paraId="7893E046">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住所：</w:t>
      </w:r>
    </w:p>
    <w:p w14:paraId="528B6A20">
      <w:pPr>
        <w:spacing w:line="360" w:lineRule="auto"/>
        <w:rPr>
          <w:rFonts w:ascii="宋体" w:hAnsi="宋体"/>
          <w:color w:val="auto"/>
          <w:sz w:val="24"/>
          <w:szCs w:val="24"/>
          <w:highlight w:val="none"/>
        </w:rPr>
      </w:pPr>
      <w:r>
        <w:rPr>
          <w:rFonts w:hint="eastAsia" w:ascii="宋体" w:hAnsi="宋体"/>
          <w:color w:val="auto"/>
          <w:sz w:val="24"/>
          <w:szCs w:val="24"/>
          <w:highlight w:val="none"/>
        </w:rPr>
        <w:t>法定代表人 ：                      法定代表人：</w:t>
      </w:r>
    </w:p>
    <w:p w14:paraId="3F2FCACE">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或委托代理人：（签章）  </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或委托代理人：（签章）</w:t>
      </w:r>
    </w:p>
    <w:p w14:paraId="686AFDBA">
      <w:pPr>
        <w:spacing w:line="360" w:lineRule="auto"/>
        <w:rPr>
          <w:rFonts w:ascii="宋体" w:hAnsi="宋体"/>
          <w:color w:val="auto"/>
          <w:sz w:val="24"/>
          <w:szCs w:val="24"/>
          <w:highlight w:val="none"/>
        </w:rPr>
      </w:pPr>
      <w:r>
        <w:rPr>
          <w:rFonts w:hint="eastAsia" w:ascii="宋体" w:hAnsi="宋体"/>
          <w:color w:val="auto"/>
          <w:sz w:val="24"/>
          <w:szCs w:val="24"/>
          <w:highlight w:val="none"/>
        </w:rPr>
        <w:t>开户银行：                         开户银行：</w:t>
      </w:r>
    </w:p>
    <w:p w14:paraId="462AA257">
      <w:pPr>
        <w:spacing w:line="360" w:lineRule="auto"/>
        <w:rPr>
          <w:rFonts w:ascii="宋体" w:hAnsi="宋体"/>
          <w:color w:val="auto"/>
          <w:sz w:val="24"/>
          <w:szCs w:val="24"/>
          <w:highlight w:val="none"/>
        </w:rPr>
      </w:pPr>
      <w:r>
        <w:rPr>
          <w:rFonts w:hint="eastAsia" w:ascii="宋体" w:hAnsi="宋体"/>
          <w:color w:val="auto"/>
          <w:sz w:val="24"/>
          <w:szCs w:val="24"/>
          <w:highlight w:val="none"/>
          <w:lang w:eastAsia="zh-CN"/>
        </w:rPr>
        <w:t>账号</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r>
        <w:rPr>
          <w:rFonts w:hint="eastAsia" w:ascii="宋体" w:hAnsi="宋体"/>
          <w:color w:val="auto"/>
          <w:sz w:val="24"/>
          <w:szCs w:val="24"/>
          <w:highlight w:val="none"/>
          <w:lang w:val="en-US" w:eastAsia="zh-CN"/>
        </w:rPr>
        <w:t xml:space="preserve">                      账号</w:t>
      </w:r>
      <w:r>
        <w:rPr>
          <w:rFonts w:hint="eastAsia" w:ascii="宋体" w:hAnsi="宋体"/>
          <w:color w:val="auto"/>
          <w:sz w:val="24"/>
          <w:szCs w:val="24"/>
          <w:highlight w:val="none"/>
        </w:rPr>
        <w:t>：</w:t>
      </w:r>
    </w:p>
    <w:p w14:paraId="133C7B26">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邮编：                     </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邮编：</w:t>
      </w:r>
    </w:p>
    <w:p w14:paraId="30D96CBA">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电话：                </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电话：</w:t>
      </w:r>
      <w:r>
        <w:rPr>
          <w:rFonts w:ascii="宋体" w:hAnsi="宋体"/>
          <w:color w:val="auto"/>
          <w:sz w:val="24"/>
          <w:szCs w:val="24"/>
          <w:highlight w:val="none"/>
        </w:rPr>
        <w:t xml:space="preserve"> </w:t>
      </w:r>
    </w:p>
    <w:p w14:paraId="62C414CB">
      <w:pPr>
        <w:autoSpaceDE w:val="0"/>
        <w:autoSpaceDN w:val="0"/>
        <w:adjustRightInd w:val="0"/>
        <w:spacing w:line="360" w:lineRule="auto"/>
        <w:jc w:val="center"/>
        <w:rPr>
          <w:rFonts w:hint="eastAsia" w:ascii="宋体" w:hAnsi="宋体"/>
          <w:color w:val="auto"/>
          <w:kern w:val="0"/>
          <w:sz w:val="24"/>
          <w:szCs w:val="24"/>
          <w:highlight w:val="none"/>
        </w:rPr>
      </w:pPr>
    </w:p>
    <w:p w14:paraId="5410703B">
      <w:pPr>
        <w:autoSpaceDE w:val="0"/>
        <w:autoSpaceDN w:val="0"/>
        <w:adjustRightInd w:val="0"/>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 xml:space="preserve"> </w:t>
      </w:r>
      <w:r>
        <w:rPr>
          <w:rFonts w:hint="eastAsia" w:ascii="宋体" w:hAnsi="宋体"/>
          <w:color w:val="auto"/>
          <w:kern w:val="0"/>
          <w:sz w:val="24"/>
          <w:szCs w:val="24"/>
          <w:highlight w:val="none"/>
        </w:rPr>
        <w:t>签订日期：</w:t>
      </w:r>
      <w:r>
        <w:rPr>
          <w:rFonts w:ascii="宋体" w:hAnsi="宋体"/>
          <w:color w:val="auto"/>
          <w:kern w:val="0"/>
          <w:sz w:val="24"/>
          <w:szCs w:val="24"/>
          <w:highlight w:val="none"/>
          <w:u w:val="single"/>
        </w:rPr>
        <w:t>202</w:t>
      </w:r>
      <w:r>
        <w:rPr>
          <w:rFonts w:hint="eastAsia" w:ascii="宋体" w:hAnsi="宋体"/>
          <w:color w:val="auto"/>
          <w:kern w:val="0"/>
          <w:sz w:val="24"/>
          <w:szCs w:val="24"/>
          <w:highlight w:val="none"/>
          <w:u w:val="single"/>
        </w:rPr>
        <w:t>4</w:t>
      </w:r>
      <w:r>
        <w:rPr>
          <w:rFonts w:hint="eastAsia" w:ascii="宋体" w:hAnsi="宋体"/>
          <w:color w:val="auto"/>
          <w:kern w:val="0"/>
          <w:sz w:val="24"/>
          <w:szCs w:val="24"/>
          <w:highlight w:val="none"/>
        </w:rPr>
        <w:t>年</w:t>
      </w:r>
      <w:r>
        <w:rPr>
          <w:rFonts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月</w:t>
      </w:r>
      <w:r>
        <w:rPr>
          <w:rFonts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日</w:t>
      </w:r>
    </w:p>
    <w:p w14:paraId="5875ACFA">
      <w:pPr>
        <w:pStyle w:val="37"/>
        <w:spacing w:line="360" w:lineRule="auto"/>
        <w:ind w:firstLine="2640" w:firstLineChars="1100"/>
        <w:jc w:val="both"/>
        <w:rPr>
          <w:rStyle w:val="38"/>
          <w:color w:val="auto"/>
          <w:sz w:val="24"/>
          <w:szCs w:val="24"/>
          <w:highlight w:val="none"/>
        </w:rPr>
      </w:pPr>
      <w:r>
        <w:rPr>
          <w:rFonts w:hint="eastAsia" w:ascii="宋体" w:hAnsi="宋体"/>
          <w:color w:val="auto"/>
          <w:kern w:val="0"/>
          <w:sz w:val="24"/>
          <w:szCs w:val="24"/>
          <w:highlight w:val="none"/>
        </w:rPr>
        <w:t>签订地点：</w:t>
      </w:r>
    </w:p>
    <w:p w14:paraId="4829B5F9">
      <w:pPr>
        <w:pStyle w:val="37"/>
        <w:spacing w:line="360" w:lineRule="auto"/>
        <w:jc w:val="center"/>
        <w:rPr>
          <w:rStyle w:val="38"/>
          <w:color w:val="auto"/>
          <w:sz w:val="24"/>
          <w:szCs w:val="24"/>
          <w:highlight w:val="none"/>
        </w:rPr>
      </w:pPr>
    </w:p>
    <w:p w14:paraId="5F4AAA85">
      <w:pPr>
        <w:pStyle w:val="6"/>
        <w:spacing w:line="360" w:lineRule="auto"/>
        <w:jc w:val="center"/>
        <w:rPr>
          <w:rFonts w:ascii="宋体" w:hAnsi="宋体"/>
          <w:color w:val="auto"/>
          <w:szCs w:val="24"/>
          <w:highlight w:val="none"/>
        </w:rPr>
      </w:pPr>
      <w:bookmarkStart w:id="396" w:name="_Toc72846725"/>
      <w:bookmarkStart w:id="397" w:name="_Toc72846876"/>
      <w:r>
        <w:rPr>
          <w:rFonts w:hint="eastAsia" w:ascii="宋体" w:hAnsi="宋体"/>
          <w:color w:val="auto"/>
          <w:szCs w:val="24"/>
          <w:highlight w:val="none"/>
        </w:rPr>
        <w:t>第二部分 通用合同</w:t>
      </w:r>
      <w:bookmarkEnd w:id="396"/>
      <w:bookmarkEnd w:id="397"/>
    </w:p>
    <w:p w14:paraId="7FE07901">
      <w:pPr>
        <w:pStyle w:val="36"/>
        <w:spacing w:before="0" w:after="0" w:line="360" w:lineRule="auto"/>
        <w:ind w:right="24"/>
        <w:outlineLvl w:val="0"/>
        <w:rPr>
          <w:rFonts w:ascii="宋体" w:hAnsi="宋体"/>
          <w:b/>
          <w:bCs/>
          <w:color w:val="auto"/>
          <w:spacing w:val="6"/>
          <w:szCs w:val="24"/>
          <w:highlight w:val="none"/>
        </w:rPr>
      </w:pPr>
      <w:bookmarkStart w:id="398" w:name="_Toc72846726"/>
      <w:bookmarkStart w:id="399" w:name="_Toc72846877"/>
      <w:r>
        <w:rPr>
          <w:rFonts w:hint="eastAsia" w:ascii="宋体" w:hAnsi="宋体"/>
          <w:b/>
          <w:bCs/>
          <w:color w:val="auto"/>
          <w:spacing w:val="6"/>
          <w:szCs w:val="24"/>
          <w:highlight w:val="none"/>
        </w:rPr>
        <w:t>一、词语定义及合同文件</w:t>
      </w:r>
      <w:bookmarkEnd w:id="398"/>
      <w:bookmarkEnd w:id="399"/>
    </w:p>
    <w:p w14:paraId="0E445A0D">
      <w:pPr>
        <w:numPr>
          <w:ilvl w:val="0"/>
          <w:numId w:val="4"/>
        </w:numPr>
        <w:spacing w:line="360" w:lineRule="auto"/>
        <w:rPr>
          <w:rFonts w:ascii="宋体" w:hAnsi="宋体"/>
          <w:b/>
          <w:bCs/>
          <w:color w:val="auto"/>
          <w:sz w:val="24"/>
          <w:szCs w:val="24"/>
          <w:highlight w:val="none"/>
        </w:rPr>
      </w:pP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词语涵义</w:t>
      </w:r>
    </w:p>
    <w:p w14:paraId="57442BF8">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ascii="宋体" w:hAnsi="宋体" w:cs="宋体"/>
          <w:color w:val="auto"/>
          <w:sz w:val="24"/>
          <w:szCs w:val="24"/>
          <w:highlight w:val="none"/>
        </w:rPr>
        <w:t>.</w:t>
      </w:r>
      <w:r>
        <w:rPr>
          <w:rFonts w:hint="eastAsia" w:ascii="宋体" w:hAnsi="宋体" w:cs="宋体"/>
          <w:color w:val="auto"/>
          <w:sz w:val="24"/>
          <w:szCs w:val="24"/>
          <w:highlight w:val="none"/>
        </w:rPr>
        <w:t>甲方：指在协议书中约定，具有发包主体资格和支付工程价款能力的当事人（企业法人）以及取得该当事人资格的合法继承人。</w:t>
      </w:r>
    </w:p>
    <w:p w14:paraId="2AB47416">
      <w:pPr>
        <w:spacing w:line="360" w:lineRule="auto"/>
        <w:ind w:firstLine="480" w:firstLineChars="200"/>
        <w:rPr>
          <w:rFonts w:hint="eastAsia" w:ascii="宋体" w:hAnsi="宋体" w:cs="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.甲方驻工地代表（简称甲方代表）：</w:t>
      </w:r>
      <w:r>
        <w:rPr>
          <w:rFonts w:ascii="宋体" w:hAnsi="宋体"/>
          <w:color w:val="auto"/>
          <w:sz w:val="24"/>
          <w:szCs w:val="24"/>
          <w:highlight w:val="none"/>
        </w:rPr>
        <w:t xml:space="preserve"> </w:t>
      </w:r>
      <w:r>
        <w:rPr>
          <w:rFonts w:hint="eastAsia" w:ascii="宋体" w:hAnsi="宋体" w:cs="宋体"/>
          <w:color w:val="auto"/>
          <w:sz w:val="24"/>
          <w:szCs w:val="24"/>
          <w:highlight w:val="none"/>
        </w:rPr>
        <w:t>甲方在协议条款中指定的代表人。</w:t>
      </w:r>
    </w:p>
    <w:p w14:paraId="6B4630F1">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.乙方：指在协议书中约定，被发包人接受的临时设施设计、主体工程施工建设、管理的当事人以及取得该当事人资格的合法继承人。</w:t>
      </w:r>
    </w:p>
    <w:p w14:paraId="088ACD5C">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s="宋体"/>
          <w:color w:val="auto"/>
          <w:sz w:val="24"/>
          <w:szCs w:val="24"/>
          <w:highlight w:val="none"/>
        </w:rPr>
        <w:t>.乙方驻工地代表（简称乙方代表）：乙方在协议条款中指定的代表人。</w:t>
      </w:r>
    </w:p>
    <w:p w14:paraId="3215D0CE">
      <w:pPr>
        <w:spacing w:line="360" w:lineRule="auto"/>
        <w:ind w:firstLine="480" w:firstLineChars="200"/>
        <w:rPr>
          <w:rFonts w:hint="eastAsia" w:ascii="宋体" w:hAnsi="宋体" w:cs="宋体"/>
          <w:color w:val="auto"/>
          <w:sz w:val="24"/>
          <w:szCs w:val="24"/>
          <w:highlight w:val="none"/>
        </w:rPr>
      </w:pPr>
      <w:r>
        <w:rPr>
          <w:rFonts w:ascii="宋体" w:hAnsi="宋体"/>
          <w:color w:val="auto"/>
          <w:sz w:val="24"/>
          <w:szCs w:val="24"/>
          <w:highlight w:val="none"/>
        </w:rPr>
        <w:t>5</w:t>
      </w:r>
      <w:r>
        <w:rPr>
          <w:rFonts w:hint="eastAsia" w:ascii="宋体" w:hAnsi="宋体" w:cs="宋体"/>
          <w:color w:val="auto"/>
          <w:sz w:val="24"/>
          <w:szCs w:val="24"/>
          <w:highlight w:val="none"/>
        </w:rPr>
        <w:t>.合同：未经特别说明，专指本合同及其附件。</w:t>
      </w:r>
    </w:p>
    <w:p w14:paraId="6BF3A5AC">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6</w:t>
      </w:r>
      <w:r>
        <w:rPr>
          <w:rFonts w:hint="eastAsia" w:ascii="宋体" w:hAnsi="宋体" w:cs="宋体"/>
          <w:color w:val="auto"/>
          <w:sz w:val="24"/>
          <w:szCs w:val="24"/>
          <w:highlight w:val="none"/>
        </w:rPr>
        <w:t>.工程监理：甲方委托具备法定资格的工程监理单位或人员对工程进行的监理。</w:t>
      </w:r>
    </w:p>
    <w:p w14:paraId="74F8E3E9">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7</w:t>
      </w:r>
      <w:r>
        <w:rPr>
          <w:rFonts w:hint="eastAsia" w:ascii="宋体" w:hAnsi="宋体" w:cs="宋体"/>
          <w:color w:val="auto"/>
          <w:sz w:val="24"/>
          <w:szCs w:val="24"/>
          <w:highlight w:val="none"/>
        </w:rPr>
        <w:t>.总监理工程师：工程监理单位委派的监理总负责人。</w:t>
      </w:r>
    </w:p>
    <w:p w14:paraId="32AE14C4">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8</w:t>
      </w:r>
      <w:r>
        <w:rPr>
          <w:rFonts w:hint="eastAsia" w:ascii="宋体" w:hAnsi="宋体" w:cs="宋体"/>
          <w:color w:val="auto"/>
          <w:sz w:val="24"/>
          <w:szCs w:val="24"/>
          <w:highlight w:val="none"/>
        </w:rPr>
        <w:t>.工程造价管理部门：国务院有关部门、各级建设行政主管部门或其授权的工程造价管理部门。</w:t>
      </w:r>
    </w:p>
    <w:p w14:paraId="1B819641">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9</w:t>
      </w:r>
      <w:r>
        <w:rPr>
          <w:rFonts w:hint="eastAsia" w:ascii="宋体" w:hAnsi="宋体" w:cs="宋体"/>
          <w:color w:val="auto"/>
          <w:sz w:val="24"/>
          <w:szCs w:val="24"/>
          <w:highlight w:val="none"/>
        </w:rPr>
        <w:t>.工程质量监督部门：国务院有关部门、各级建设行政主管部门或其授权的工程质量监督机构。由甲方负责委托。</w:t>
      </w:r>
    </w:p>
    <w:p w14:paraId="2C525CEA">
      <w:pPr>
        <w:spacing w:line="360" w:lineRule="auto"/>
        <w:ind w:firstLine="480" w:firstLineChars="200"/>
        <w:rPr>
          <w:rFonts w:hint="eastAsia" w:ascii="宋体" w:hAnsi="宋体" w:cs="宋体"/>
          <w:color w:val="auto"/>
          <w:sz w:val="24"/>
          <w:szCs w:val="24"/>
          <w:highlight w:val="none"/>
        </w:rPr>
      </w:pPr>
      <w:r>
        <w:rPr>
          <w:rFonts w:ascii="宋体" w:hAnsi="宋体"/>
          <w:color w:val="auto"/>
          <w:sz w:val="24"/>
          <w:szCs w:val="24"/>
          <w:highlight w:val="none"/>
        </w:rPr>
        <w:t>10</w:t>
      </w:r>
      <w:r>
        <w:rPr>
          <w:rFonts w:hint="eastAsia" w:ascii="宋体" w:hAnsi="宋体" w:cs="宋体"/>
          <w:color w:val="auto"/>
          <w:sz w:val="24"/>
          <w:szCs w:val="24"/>
          <w:highlight w:val="none"/>
        </w:rPr>
        <w:t>.工程：指甲方和乙方在协议书中约定的承包范围内的工程。</w:t>
      </w:r>
    </w:p>
    <w:p w14:paraId="3DDEF62F">
      <w:pPr>
        <w:spacing w:line="360" w:lineRule="auto"/>
        <w:ind w:firstLine="480" w:firstLineChars="200"/>
        <w:rPr>
          <w:rFonts w:ascii="宋体" w:hAnsi="宋体" w:cs="宋体"/>
          <w:color w:val="auto"/>
          <w:sz w:val="24"/>
          <w:szCs w:val="24"/>
          <w:highlight w:val="none"/>
        </w:rPr>
      </w:pPr>
      <w:r>
        <w:rPr>
          <w:rFonts w:ascii="宋体" w:hAnsi="宋体"/>
          <w:color w:val="auto"/>
          <w:sz w:val="24"/>
          <w:szCs w:val="24"/>
          <w:highlight w:val="none"/>
        </w:rPr>
        <w:t>11</w:t>
      </w:r>
      <w:r>
        <w:rPr>
          <w:rFonts w:hint="eastAsia" w:ascii="宋体" w:hAnsi="宋体" w:cs="宋体"/>
          <w:color w:val="auto"/>
          <w:sz w:val="24"/>
          <w:szCs w:val="24"/>
          <w:highlight w:val="none"/>
        </w:rPr>
        <w:t>.合同价款：按照双方约定，甲方用以支付乙方按照合同要求完成工程内容，并承担质量保修责任后的价款总额。</w:t>
      </w:r>
    </w:p>
    <w:p w14:paraId="6F92D37B">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12.</w:t>
      </w:r>
      <w:r>
        <w:rPr>
          <w:rFonts w:hint="eastAsia" w:ascii="宋体" w:hAnsi="宋体" w:cs="宋体"/>
          <w:color w:val="auto"/>
          <w:sz w:val="24"/>
          <w:szCs w:val="24"/>
          <w:highlight w:val="none"/>
        </w:rPr>
        <w:t>固定单价（包干单价）：指乙方所报标的综合单价在合同实施期间不因资源、价格等因素变化而调整的价格。</w:t>
      </w:r>
    </w:p>
    <w:p w14:paraId="741B8961">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13.</w:t>
      </w:r>
      <w:r>
        <w:rPr>
          <w:rFonts w:hint="eastAsia" w:ascii="宋体" w:hAnsi="宋体" w:cs="宋体"/>
          <w:color w:val="auto"/>
          <w:sz w:val="24"/>
          <w:szCs w:val="24"/>
          <w:highlight w:val="none"/>
        </w:rPr>
        <w:t>固定总价（包干总价）：指乙方所报标的总价在合同实施期间不因资源、价格等因变化而调整的价格。</w:t>
      </w:r>
    </w:p>
    <w:p w14:paraId="676BB002">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14</w:t>
      </w:r>
      <w:r>
        <w:rPr>
          <w:rFonts w:hint="eastAsia" w:ascii="宋体" w:hAnsi="宋体" w:cs="宋体"/>
          <w:color w:val="auto"/>
          <w:sz w:val="24"/>
          <w:szCs w:val="24"/>
          <w:highlight w:val="none"/>
        </w:rPr>
        <w:t>.经济支出：在施工中已经发生，经甲方确认后支付的合同价款。</w:t>
      </w:r>
    </w:p>
    <w:p w14:paraId="2F151E42">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15</w:t>
      </w:r>
      <w:r>
        <w:rPr>
          <w:rFonts w:hint="eastAsia" w:ascii="宋体" w:hAnsi="宋体" w:cs="宋体"/>
          <w:color w:val="auto"/>
          <w:sz w:val="24"/>
          <w:szCs w:val="24"/>
          <w:highlight w:val="none"/>
        </w:rPr>
        <w:t>.费用：甲方在合同价款之外，需要直接支付的开支和乙方应负担的开支。</w:t>
      </w:r>
    </w:p>
    <w:p w14:paraId="7CCE4E8F">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16</w:t>
      </w:r>
      <w:r>
        <w:rPr>
          <w:rFonts w:hint="eastAsia" w:ascii="宋体" w:hAnsi="宋体" w:cs="宋体"/>
          <w:color w:val="auto"/>
          <w:sz w:val="24"/>
          <w:szCs w:val="24"/>
          <w:highlight w:val="none"/>
        </w:rPr>
        <w:t>.供货商：是指乙方在承包过程中的选定的供货单位。</w:t>
      </w:r>
    </w:p>
    <w:p w14:paraId="0831E505">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17</w:t>
      </w:r>
      <w:r>
        <w:rPr>
          <w:rFonts w:hint="eastAsia" w:ascii="宋体" w:hAnsi="宋体" w:cs="宋体"/>
          <w:color w:val="auto"/>
          <w:sz w:val="24"/>
          <w:szCs w:val="24"/>
          <w:highlight w:val="none"/>
        </w:rPr>
        <w:t>.工期：指甲方和乙方在协议书中约定，按总日历天数计算的承包天数。</w:t>
      </w:r>
    </w:p>
    <w:p w14:paraId="79A1989C">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8</w:t>
      </w:r>
      <w:r>
        <w:rPr>
          <w:rFonts w:hint="eastAsia" w:ascii="宋体" w:hAnsi="宋体" w:cs="宋体"/>
          <w:color w:val="auto"/>
          <w:sz w:val="24"/>
          <w:szCs w:val="24"/>
          <w:highlight w:val="none"/>
        </w:rPr>
        <w:t>.开工日期：以甲方或监理下达的开工通知的时间为准。</w:t>
      </w:r>
    </w:p>
    <w:p w14:paraId="73581489">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19</w:t>
      </w:r>
      <w:r>
        <w:rPr>
          <w:rFonts w:hint="eastAsia" w:ascii="宋体" w:hAnsi="宋体" w:cs="宋体"/>
          <w:color w:val="auto"/>
          <w:sz w:val="24"/>
          <w:szCs w:val="24"/>
          <w:highlight w:val="none"/>
        </w:rPr>
        <w:t>.工程交付日期：工程质量验收合格、性能考核合格，完成所有交付工作之日。</w:t>
      </w:r>
      <w:r>
        <w:rPr>
          <w:rFonts w:ascii="宋体" w:hAnsi="宋体"/>
          <w:color w:val="auto"/>
          <w:sz w:val="24"/>
          <w:szCs w:val="24"/>
          <w:highlight w:val="none"/>
        </w:rPr>
        <w:t xml:space="preserve"> </w:t>
      </w:r>
    </w:p>
    <w:p w14:paraId="184807E6">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0</w:t>
      </w:r>
      <w:r>
        <w:rPr>
          <w:rFonts w:hint="eastAsia" w:ascii="宋体" w:hAnsi="宋体" w:cs="宋体"/>
          <w:color w:val="auto"/>
          <w:sz w:val="24"/>
          <w:szCs w:val="24"/>
          <w:highlight w:val="none"/>
        </w:rPr>
        <w:t>.图纸：用于工程</w:t>
      </w:r>
      <w:r>
        <w:rPr>
          <w:rFonts w:ascii="宋体" w:hAnsi="宋体" w:cs="宋体"/>
          <w:color w:val="auto"/>
          <w:sz w:val="24"/>
          <w:szCs w:val="24"/>
          <w:highlight w:val="none"/>
        </w:rPr>
        <w:t>施工的所有图纸</w:t>
      </w:r>
      <w:r>
        <w:rPr>
          <w:rFonts w:hint="eastAsia" w:ascii="宋体" w:hAnsi="宋体" w:cs="宋体"/>
          <w:color w:val="auto"/>
          <w:sz w:val="24"/>
          <w:szCs w:val="24"/>
          <w:highlight w:val="none"/>
        </w:rPr>
        <w:t>。</w:t>
      </w:r>
    </w:p>
    <w:p w14:paraId="1EB0D95D">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1.批准：指甲方对所有工程项目文件、图纸、施工及采购等的批准，但甲方的批准不解除</w:t>
      </w:r>
      <w:r>
        <w:rPr>
          <w:rFonts w:hint="eastAsia" w:ascii="宋体" w:hAnsi="宋体" w:cs="宋体"/>
          <w:color w:val="auto"/>
          <w:sz w:val="24"/>
          <w:szCs w:val="24"/>
          <w:highlight w:val="none"/>
        </w:rPr>
        <w:t>乙方的合同责任。</w:t>
      </w:r>
    </w:p>
    <w:p w14:paraId="4CAA31E1">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22.施工场地：指用于工程施工的场所。</w:t>
      </w:r>
    </w:p>
    <w:p w14:paraId="562C40ED">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3</w:t>
      </w:r>
      <w:r>
        <w:rPr>
          <w:rFonts w:hint="eastAsia" w:ascii="宋体" w:hAnsi="宋体" w:cs="宋体"/>
          <w:color w:val="auto"/>
          <w:sz w:val="24"/>
          <w:szCs w:val="24"/>
          <w:highlight w:val="none"/>
        </w:rPr>
        <w:t>.书面形式：指合同书、信件和数据电文（包括电报、电传、传真、电子数据交换和电子邮件）等可以有形地表现所载内容的形式。</w:t>
      </w:r>
    </w:p>
    <w:p w14:paraId="4AA78672">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4</w:t>
      </w:r>
      <w:r>
        <w:rPr>
          <w:rFonts w:hint="eastAsia" w:ascii="宋体" w:hAnsi="宋体" w:cs="宋体"/>
          <w:color w:val="auto"/>
          <w:sz w:val="24"/>
          <w:szCs w:val="24"/>
          <w:highlight w:val="none"/>
        </w:rPr>
        <w:t>.性能考核试验：为考核设计文件及合同规定的内容而进行试验和测定。</w:t>
      </w:r>
    </w:p>
    <w:p w14:paraId="7084E55E">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25</w:t>
      </w:r>
      <w:r>
        <w:rPr>
          <w:rFonts w:hint="eastAsia" w:ascii="宋体" w:hAnsi="宋体" w:cs="宋体"/>
          <w:color w:val="auto"/>
          <w:sz w:val="24"/>
          <w:szCs w:val="24"/>
          <w:highlight w:val="none"/>
        </w:rPr>
        <w:t>.工程交付：各项指标达到验收条件后，乙方和甲方按合同约定所作的交接工作。</w:t>
      </w:r>
    </w:p>
    <w:p w14:paraId="25C3CCE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26</w:t>
      </w:r>
      <w:r>
        <w:rPr>
          <w:rFonts w:hint="eastAsia" w:ascii="宋体" w:hAnsi="宋体" w:cs="宋体"/>
          <w:color w:val="auto"/>
          <w:sz w:val="24"/>
          <w:szCs w:val="24"/>
          <w:highlight w:val="none"/>
        </w:rPr>
        <w:t>.不可抗力：指因战争、动乱、空中飞行物体坠落或其它非甲乙方责任造成的爆炸、火灾，以及协议条款约定等级以上的风、雨、雪、地震等对工程造成损害的自然灾害。</w:t>
      </w:r>
    </w:p>
    <w:p w14:paraId="6FEBFC27">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27.协议条款：结合具体工程，甲乙双方协商后签订的书面协议。</w:t>
      </w:r>
    </w:p>
    <w:p w14:paraId="37CE0D77">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28.机械、仪器和材料：用于构成永久工程的设备和材料。</w:t>
      </w:r>
    </w:p>
    <w:p w14:paraId="5646CFAF">
      <w:pPr>
        <w:spacing w:line="360" w:lineRule="auto"/>
        <w:ind w:firstLine="480" w:firstLineChars="200"/>
        <w:rPr>
          <w:rFonts w:ascii="宋体" w:hAnsi="宋体"/>
          <w:color w:val="auto"/>
          <w:sz w:val="24"/>
          <w:szCs w:val="24"/>
          <w:highlight w:val="none"/>
        </w:rPr>
      </w:pPr>
      <w:r>
        <w:rPr>
          <w:rFonts w:hint="eastAsia" w:ascii="宋体" w:hAnsi="宋体"/>
          <w:bCs/>
          <w:color w:val="auto"/>
          <w:sz w:val="24"/>
          <w:szCs w:val="24"/>
          <w:highlight w:val="none"/>
        </w:rPr>
        <w:t>29</w:t>
      </w:r>
      <w:r>
        <w:rPr>
          <w:rFonts w:hint="eastAsia" w:ascii="宋体" w:hAnsi="宋体" w:cs="宋体"/>
          <w:bCs/>
          <w:color w:val="auto"/>
          <w:sz w:val="24"/>
          <w:szCs w:val="24"/>
          <w:highlight w:val="none"/>
        </w:rPr>
        <w:t>．</w:t>
      </w:r>
      <w:r>
        <w:rPr>
          <w:rFonts w:hint="eastAsia" w:ascii="宋体" w:hAnsi="宋体" w:cs="宋体"/>
          <w:color w:val="auto"/>
          <w:sz w:val="24"/>
          <w:szCs w:val="24"/>
          <w:highlight w:val="none"/>
        </w:rPr>
        <w:t>违约责任：指合同一方不履行合同义务或履行合同义务不符合所承担的责任。</w:t>
      </w:r>
    </w:p>
    <w:p w14:paraId="0E586757">
      <w:pPr>
        <w:spacing w:line="360" w:lineRule="auto"/>
        <w:ind w:firstLine="480" w:firstLineChars="200"/>
        <w:rPr>
          <w:rFonts w:ascii="宋体" w:hAnsi="宋体"/>
          <w:color w:val="auto"/>
          <w:sz w:val="24"/>
          <w:szCs w:val="24"/>
          <w:highlight w:val="none"/>
        </w:rPr>
      </w:pPr>
      <w:r>
        <w:rPr>
          <w:rFonts w:ascii="宋体" w:hAnsi="宋体"/>
          <w:bCs/>
          <w:color w:val="auto"/>
          <w:sz w:val="24"/>
          <w:szCs w:val="24"/>
          <w:highlight w:val="none"/>
        </w:rPr>
        <w:t>3</w:t>
      </w:r>
      <w:r>
        <w:rPr>
          <w:rFonts w:hint="eastAsia" w:ascii="宋体" w:hAnsi="宋体"/>
          <w:bCs/>
          <w:color w:val="auto"/>
          <w:sz w:val="24"/>
          <w:szCs w:val="24"/>
          <w:highlight w:val="none"/>
        </w:rPr>
        <w:t>0</w:t>
      </w:r>
      <w:r>
        <w:rPr>
          <w:rFonts w:hint="eastAsia" w:ascii="宋体" w:hAnsi="宋体" w:cs="宋体"/>
          <w:bCs/>
          <w:color w:val="auto"/>
          <w:sz w:val="24"/>
          <w:szCs w:val="24"/>
          <w:highlight w:val="none"/>
        </w:rPr>
        <w:t>.</w:t>
      </w:r>
      <w:r>
        <w:rPr>
          <w:rFonts w:hint="eastAsia" w:ascii="宋体" w:hAnsi="宋体" w:cs="宋体"/>
          <w:color w:val="auto"/>
          <w:sz w:val="24"/>
          <w:szCs w:val="24"/>
          <w:highlight w:val="none"/>
        </w:rPr>
        <w:t>索赔：指合同履行过程中，对于并非自己的过错，而是由对方承担责任的情况造成的实际损失，向对方提出经济补偿和</w:t>
      </w:r>
      <w:r>
        <w:rPr>
          <w:rFonts w:ascii="宋体" w:hAnsi="宋体"/>
          <w:color w:val="auto"/>
          <w:sz w:val="24"/>
          <w:szCs w:val="24"/>
          <w:highlight w:val="none"/>
        </w:rPr>
        <w:t>(</w:t>
      </w:r>
      <w:r>
        <w:rPr>
          <w:rFonts w:hint="eastAsia" w:ascii="宋体" w:hAnsi="宋体" w:cs="宋体"/>
          <w:color w:val="auto"/>
          <w:sz w:val="24"/>
          <w:szCs w:val="24"/>
          <w:highlight w:val="none"/>
        </w:rPr>
        <w:t>或</w:t>
      </w:r>
      <w:r>
        <w:rPr>
          <w:rFonts w:ascii="宋体" w:hAnsi="宋体"/>
          <w:color w:val="auto"/>
          <w:sz w:val="24"/>
          <w:szCs w:val="24"/>
          <w:highlight w:val="none"/>
        </w:rPr>
        <w:t>)</w:t>
      </w:r>
      <w:r>
        <w:rPr>
          <w:rFonts w:hint="eastAsia" w:ascii="宋体" w:hAnsi="宋体" w:cs="宋体"/>
          <w:color w:val="auto"/>
          <w:sz w:val="24"/>
          <w:szCs w:val="24"/>
          <w:highlight w:val="none"/>
        </w:rPr>
        <w:t>工期顺延的要求。</w:t>
      </w:r>
    </w:p>
    <w:p w14:paraId="16FC361A">
      <w:pPr>
        <w:spacing w:line="360" w:lineRule="auto"/>
        <w:ind w:firstLine="480" w:firstLineChars="200"/>
        <w:rPr>
          <w:rFonts w:ascii="宋体" w:hAnsi="宋体" w:cs="宋体"/>
          <w:color w:val="auto"/>
          <w:sz w:val="24"/>
          <w:szCs w:val="24"/>
          <w:highlight w:val="none"/>
        </w:rPr>
      </w:pPr>
      <w:r>
        <w:rPr>
          <w:rFonts w:ascii="宋体" w:hAnsi="宋体"/>
          <w:bCs/>
          <w:color w:val="auto"/>
          <w:sz w:val="24"/>
          <w:szCs w:val="24"/>
          <w:highlight w:val="none"/>
        </w:rPr>
        <w:t>3</w:t>
      </w:r>
      <w:r>
        <w:rPr>
          <w:rFonts w:hint="eastAsia" w:ascii="宋体" w:hAnsi="宋体"/>
          <w:bCs/>
          <w:color w:val="auto"/>
          <w:sz w:val="24"/>
          <w:szCs w:val="24"/>
          <w:highlight w:val="none"/>
        </w:rPr>
        <w:t>1</w:t>
      </w:r>
      <w:r>
        <w:rPr>
          <w:rFonts w:hint="eastAsia" w:ascii="宋体" w:hAnsi="宋体" w:cs="宋体"/>
          <w:bCs/>
          <w:color w:val="auto"/>
          <w:sz w:val="24"/>
          <w:szCs w:val="24"/>
          <w:highlight w:val="none"/>
        </w:rPr>
        <w:t>.</w:t>
      </w:r>
      <w:r>
        <w:rPr>
          <w:rFonts w:hint="eastAsia" w:ascii="宋体" w:hAnsi="宋体" w:cs="宋体"/>
          <w:color w:val="auto"/>
          <w:sz w:val="24"/>
          <w:szCs w:val="24"/>
          <w:highlight w:val="none"/>
        </w:rPr>
        <w:t>“甲方要求</w:t>
      </w:r>
      <w:r>
        <w:rPr>
          <w:rFonts w:ascii="宋体" w:hAnsi="宋体"/>
          <w:color w:val="auto"/>
          <w:sz w:val="24"/>
          <w:szCs w:val="24"/>
          <w:highlight w:val="none"/>
        </w:rPr>
        <w:t xml:space="preserve"> </w:t>
      </w:r>
      <w:r>
        <w:rPr>
          <w:rFonts w:hint="eastAsia" w:ascii="宋体" w:hAnsi="宋体" w:cs="宋体"/>
          <w:color w:val="auto"/>
          <w:sz w:val="24"/>
          <w:szCs w:val="24"/>
          <w:highlight w:val="none"/>
        </w:rPr>
        <w:t>”：指合同中包括的，题为“甲方要求</w:t>
      </w:r>
      <w:r>
        <w:rPr>
          <w:rFonts w:ascii="宋体" w:hAnsi="宋体"/>
          <w:color w:val="auto"/>
          <w:sz w:val="24"/>
          <w:szCs w:val="24"/>
          <w:highlight w:val="none"/>
        </w:rPr>
        <w:t xml:space="preserve"> </w:t>
      </w:r>
      <w:r>
        <w:rPr>
          <w:rFonts w:hint="eastAsia" w:ascii="宋体" w:hAnsi="宋体" w:cs="宋体"/>
          <w:color w:val="auto"/>
          <w:sz w:val="24"/>
          <w:szCs w:val="24"/>
          <w:highlight w:val="none"/>
        </w:rPr>
        <w:t>”的文件，其中列明工程的目标、范围、和（或）设计和（或）其他技术标准，以及按合同对</w:t>
      </w:r>
      <w:r>
        <w:rPr>
          <w:rFonts w:hint="eastAsia" w:ascii="宋体" w:hAnsi="宋体"/>
          <w:color w:val="auto"/>
          <w:sz w:val="24"/>
          <w:szCs w:val="24"/>
          <w:highlight w:val="none"/>
        </w:rPr>
        <w:t>施工图进行审查，</w:t>
      </w:r>
      <w:r>
        <w:rPr>
          <w:rFonts w:hint="eastAsia" w:ascii="宋体" w:hAnsi="宋体" w:cs="宋体"/>
          <w:color w:val="auto"/>
          <w:sz w:val="24"/>
          <w:szCs w:val="24"/>
          <w:highlight w:val="none"/>
        </w:rPr>
        <w:t>此项文件所作的任何补充和修改。</w:t>
      </w:r>
    </w:p>
    <w:p w14:paraId="4555D56E">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2</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ascii="宋体" w:hAnsi="宋体"/>
          <w:color w:val="auto"/>
          <w:sz w:val="24"/>
          <w:szCs w:val="24"/>
          <w:highlight w:val="none"/>
        </w:rPr>
        <w:t xml:space="preserve"> </w:t>
      </w:r>
      <w:r>
        <w:rPr>
          <w:rFonts w:hint="eastAsia" w:ascii="宋体" w:hAnsi="宋体" w:cs="宋体"/>
          <w:color w:val="auto"/>
          <w:sz w:val="24"/>
          <w:szCs w:val="24"/>
          <w:highlight w:val="none"/>
        </w:rPr>
        <w:t>合同履行中必须使用现行的国家法律法规、标准、规范；国家没有相应标准、规范时，可使用行业的标准、规范；若标准、规范相抵触时，则执行较为严格的标准。</w:t>
      </w:r>
      <w:r>
        <w:rPr>
          <w:rFonts w:hint="eastAsia" w:ascii="宋体" w:hAnsi="宋体" w:cs="宋体"/>
          <w:b/>
          <w:bCs/>
          <w:color w:val="auto"/>
          <w:sz w:val="24"/>
          <w:szCs w:val="24"/>
          <w:highlight w:val="none"/>
        </w:rPr>
        <w:t>项目实施中必须执行国家的强制性标准</w:t>
      </w:r>
      <w:r>
        <w:rPr>
          <w:rFonts w:hint="eastAsia" w:ascii="宋体" w:hAnsi="宋体" w:cs="宋体"/>
          <w:color w:val="auto"/>
          <w:sz w:val="24"/>
          <w:szCs w:val="24"/>
          <w:highlight w:val="none"/>
        </w:rPr>
        <w:t>。</w:t>
      </w:r>
    </w:p>
    <w:p w14:paraId="403A86C1">
      <w:pPr>
        <w:pStyle w:val="36"/>
        <w:spacing w:before="0" w:after="0" w:line="360" w:lineRule="auto"/>
        <w:ind w:right="24"/>
        <w:outlineLvl w:val="0"/>
        <w:rPr>
          <w:rFonts w:ascii="宋体" w:hAnsi="宋体"/>
          <w:b/>
          <w:bCs/>
          <w:color w:val="auto"/>
          <w:spacing w:val="6"/>
          <w:szCs w:val="24"/>
          <w:highlight w:val="none"/>
        </w:rPr>
      </w:pPr>
      <w:bookmarkStart w:id="400" w:name="_Toc72846727"/>
      <w:bookmarkStart w:id="401" w:name="_Toc72846878"/>
      <w:r>
        <w:rPr>
          <w:rFonts w:hint="eastAsia" w:ascii="宋体" w:hAnsi="宋体"/>
          <w:b/>
          <w:bCs/>
          <w:color w:val="auto"/>
          <w:spacing w:val="6"/>
          <w:szCs w:val="24"/>
          <w:highlight w:val="none"/>
        </w:rPr>
        <w:t>二．双方一般责任</w:t>
      </w:r>
      <w:bookmarkEnd w:id="400"/>
      <w:bookmarkEnd w:id="401"/>
    </w:p>
    <w:p w14:paraId="739B8163">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3</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甲方工作</w:t>
      </w:r>
    </w:p>
    <w:p w14:paraId="5CB81953">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.施工场地具备施工条件；</w:t>
      </w:r>
    </w:p>
    <w:p w14:paraId="49FDC7BF">
      <w:pPr>
        <w:spacing w:line="360" w:lineRule="auto"/>
        <w:ind w:firstLine="480" w:firstLineChars="200"/>
        <w:rPr>
          <w:rFonts w:ascii="宋体" w:hAnsi="宋体" w:cs="宋体"/>
          <w:color w:val="auto"/>
          <w:sz w:val="24"/>
          <w:szCs w:val="24"/>
          <w:highlight w:val="none"/>
          <w:lang w:val="zh-CN"/>
        </w:rPr>
      </w:pPr>
      <w:r>
        <w:rPr>
          <w:rFonts w:ascii="宋体" w:hAnsi="宋体"/>
          <w:color w:val="auto"/>
          <w:sz w:val="24"/>
          <w:szCs w:val="24"/>
          <w:highlight w:val="none"/>
        </w:rPr>
        <w:t xml:space="preserve"> 2</w:t>
      </w:r>
      <w:r>
        <w:rPr>
          <w:rFonts w:hint="eastAsia" w:ascii="宋体" w:hAnsi="宋体" w:cs="宋体"/>
          <w:color w:val="auto"/>
          <w:sz w:val="24"/>
          <w:szCs w:val="24"/>
          <w:highlight w:val="none"/>
        </w:rPr>
        <w:t>.</w:t>
      </w:r>
      <w:r>
        <w:rPr>
          <w:rFonts w:hint="eastAsia" w:ascii="宋体" w:hAnsi="宋体" w:cs="宋体"/>
          <w:color w:val="auto"/>
          <w:kern w:val="28"/>
          <w:sz w:val="24"/>
          <w:szCs w:val="24"/>
          <w:highlight w:val="none"/>
          <w:lang w:val="zh-CN"/>
        </w:rPr>
        <w:t>施工现场所需的临时用电、</w:t>
      </w:r>
      <w:r>
        <w:rPr>
          <w:rFonts w:ascii="宋体" w:hAnsi="宋体" w:cs="宋体"/>
          <w:color w:val="auto"/>
          <w:kern w:val="28"/>
          <w:sz w:val="24"/>
          <w:szCs w:val="24"/>
          <w:highlight w:val="none"/>
          <w:lang w:val="zh-CN"/>
        </w:rPr>
        <w:t>水，</w:t>
      </w:r>
      <w:r>
        <w:rPr>
          <w:rFonts w:hint="eastAsia" w:ascii="宋体" w:hAnsi="宋体" w:cs="宋体"/>
          <w:color w:val="auto"/>
          <w:kern w:val="28"/>
          <w:sz w:val="24"/>
          <w:szCs w:val="24"/>
          <w:highlight w:val="none"/>
          <w:lang w:val="zh-CN"/>
        </w:rPr>
        <w:t>由</w:t>
      </w:r>
      <w:r>
        <w:rPr>
          <w:rFonts w:hint="eastAsia" w:ascii="宋体" w:hAnsi="宋体" w:cs="宋体"/>
          <w:color w:val="auto"/>
          <w:sz w:val="24"/>
          <w:szCs w:val="24"/>
          <w:highlight w:val="none"/>
          <w:lang w:val="zh-CN"/>
        </w:rPr>
        <w:t>甲方指定接口地点，乙方负责安装计量，每月根据甲方提供的实际用电单价结算。</w:t>
      </w:r>
    </w:p>
    <w:p w14:paraId="25282B5A">
      <w:pPr>
        <w:spacing w:line="360" w:lineRule="auto"/>
        <w:ind w:left="480" w:hanging="480" w:hangingChars="200"/>
        <w:rPr>
          <w:rFonts w:ascii="宋体" w:hAnsi="宋体"/>
          <w:color w:val="auto"/>
          <w:sz w:val="24"/>
          <w:szCs w:val="24"/>
          <w:highlight w:val="none"/>
        </w:rPr>
      </w:pPr>
      <w:r>
        <w:rPr>
          <w:rFonts w:ascii="宋体" w:hAnsi="宋体"/>
          <w:color w:val="auto"/>
          <w:sz w:val="24"/>
          <w:szCs w:val="24"/>
          <w:highlight w:val="none"/>
        </w:rPr>
        <w:t xml:space="preserve">    </w:t>
      </w:r>
      <w:r>
        <w:rPr>
          <w:rFonts w:hint="eastAsia" w:ascii="宋体" w:hAnsi="宋体"/>
          <w:color w:val="auto"/>
          <w:sz w:val="24"/>
          <w:szCs w:val="24"/>
          <w:highlight w:val="none"/>
        </w:rPr>
        <w:t>3</w:t>
      </w:r>
      <w:r>
        <w:rPr>
          <w:rFonts w:hint="eastAsia" w:ascii="宋体" w:hAnsi="宋体" w:cs="宋体"/>
          <w:color w:val="auto"/>
          <w:sz w:val="24"/>
          <w:szCs w:val="24"/>
          <w:highlight w:val="none"/>
        </w:rPr>
        <w:t>.将水准点与坐标控制点以书面形式交给乙方，并进行现场交验；</w:t>
      </w:r>
    </w:p>
    <w:p w14:paraId="43B75025">
      <w:pPr>
        <w:spacing w:line="360" w:lineRule="auto"/>
        <w:ind w:left="449" w:leftChars="214"/>
        <w:rPr>
          <w:rFonts w:ascii="宋体" w:hAnsi="宋体" w:cs="宋体"/>
          <w:color w:val="auto"/>
          <w:sz w:val="24"/>
          <w:szCs w:val="24"/>
          <w:highlight w:val="none"/>
        </w:rPr>
      </w:pPr>
      <w:r>
        <w:rPr>
          <w:rFonts w:ascii="宋体" w:hAnsi="宋体"/>
          <w:color w:val="auto"/>
          <w:sz w:val="24"/>
          <w:szCs w:val="24"/>
          <w:highlight w:val="none"/>
        </w:rPr>
        <w:t>4.</w:t>
      </w:r>
      <w:r>
        <w:rPr>
          <w:rFonts w:hint="eastAsia" w:ascii="宋体" w:hAnsi="宋体" w:cs="宋体"/>
          <w:color w:val="auto"/>
          <w:sz w:val="24"/>
          <w:szCs w:val="24"/>
          <w:highlight w:val="none"/>
        </w:rPr>
        <w:t>协助乙方协调与地方政府部门（含主管部门）及民间的关系；</w:t>
      </w:r>
    </w:p>
    <w:p w14:paraId="613B3DF1">
      <w:pPr>
        <w:spacing w:line="360" w:lineRule="auto"/>
        <w:ind w:firstLine="482" w:firstLineChars="200"/>
        <w:rPr>
          <w:rFonts w:ascii="宋体" w:hAnsi="宋体"/>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4</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提供设计条件</w:t>
      </w:r>
    </w:p>
    <w:p w14:paraId="6647A6CF">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无。</w:t>
      </w:r>
    </w:p>
    <w:p w14:paraId="416665EA">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第5条  甲方驻工地代表</w:t>
      </w:r>
    </w:p>
    <w:p w14:paraId="61E79232">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甲方任命驻施工现场的代表，按照以下要求，行使合同约定的权力，履行合同约定的职责：</w:t>
      </w:r>
    </w:p>
    <w:p w14:paraId="785E00A1">
      <w:pPr>
        <w:spacing w:line="360" w:lineRule="auto"/>
        <w:ind w:firstLine="480" w:firstLineChars="200"/>
        <w:rPr>
          <w:rFonts w:ascii="宋体" w:hAnsi="宋体" w:cs="宋体"/>
          <w:color w:val="auto"/>
          <w:sz w:val="24"/>
          <w:szCs w:val="24"/>
          <w:highlight w:val="none"/>
        </w:rPr>
      </w:pPr>
      <w:r>
        <w:rPr>
          <w:rFonts w:ascii="宋体" w:hAnsi="宋体" w:cs="宋体"/>
          <w:color w:val="auto"/>
          <w:sz w:val="24"/>
          <w:szCs w:val="24"/>
          <w:highlight w:val="none"/>
        </w:rPr>
        <w:t>1.</w:t>
      </w:r>
      <w:r>
        <w:rPr>
          <w:rFonts w:hint="eastAsia" w:ascii="宋体" w:hAnsi="宋体" w:cs="宋体"/>
          <w:color w:val="auto"/>
          <w:sz w:val="24"/>
          <w:szCs w:val="24"/>
          <w:highlight w:val="none"/>
        </w:rPr>
        <w:t>甲方可委派有关具体管理人员，行使甲方权力，并可在任何时候撤回这种委派。委派和撤回均应提前</w:t>
      </w:r>
      <w:r>
        <w:rPr>
          <w:rFonts w:hint="eastAsia" w:ascii="宋体" w:hAnsi="宋体"/>
          <w:color w:val="auto"/>
          <w:sz w:val="24"/>
          <w:szCs w:val="24"/>
          <w:highlight w:val="none"/>
        </w:rPr>
        <w:t>7</w:t>
      </w:r>
      <w:r>
        <w:rPr>
          <w:rFonts w:hint="eastAsia" w:ascii="宋体" w:hAnsi="宋体" w:cs="宋体"/>
          <w:color w:val="auto"/>
          <w:sz w:val="24"/>
          <w:szCs w:val="24"/>
          <w:highlight w:val="none"/>
        </w:rPr>
        <w:t>个日历日通知乙方。</w:t>
      </w:r>
    </w:p>
    <w:p w14:paraId="66537AB3">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甲方的指令、通知由其本人签字后，以书面形式交给乙方代表，乙方代表在回执上签署姓名和收到时间后生效。确有必要时，甲方可发出口头指令，并在</w:t>
      </w:r>
      <w:r>
        <w:rPr>
          <w:rFonts w:ascii="宋体" w:hAnsi="宋体"/>
          <w:color w:val="auto"/>
          <w:sz w:val="24"/>
          <w:szCs w:val="24"/>
          <w:highlight w:val="none"/>
        </w:rPr>
        <w:t>72</w:t>
      </w:r>
      <w:r>
        <w:rPr>
          <w:rFonts w:hint="eastAsia" w:ascii="宋体" w:hAnsi="宋体" w:cs="宋体"/>
          <w:color w:val="auto"/>
          <w:sz w:val="24"/>
          <w:szCs w:val="24"/>
          <w:highlight w:val="none"/>
        </w:rPr>
        <w:t>小时内给予书面确认，乙方对甲方的指令应予执行。甲方不能及时给予书面确认，乙方应于甲方发出口头指令后</w:t>
      </w:r>
      <w:r>
        <w:rPr>
          <w:rFonts w:ascii="宋体" w:hAnsi="宋体"/>
          <w:color w:val="auto"/>
          <w:sz w:val="24"/>
          <w:szCs w:val="24"/>
          <w:highlight w:val="none"/>
        </w:rPr>
        <w:t>3</w:t>
      </w:r>
      <w:r>
        <w:rPr>
          <w:rFonts w:hint="eastAsia" w:ascii="宋体" w:hAnsi="宋体" w:cs="宋体"/>
          <w:color w:val="auto"/>
          <w:sz w:val="24"/>
          <w:szCs w:val="24"/>
          <w:highlight w:val="none"/>
        </w:rPr>
        <w:t>天内提出书面确认要求，甲方在乙方提出确认要求后</w:t>
      </w:r>
      <w:r>
        <w:rPr>
          <w:rFonts w:ascii="宋体" w:hAnsi="宋体"/>
          <w:color w:val="auto"/>
          <w:sz w:val="24"/>
          <w:szCs w:val="24"/>
          <w:highlight w:val="none"/>
        </w:rPr>
        <w:t>3</w:t>
      </w:r>
      <w:r>
        <w:rPr>
          <w:rFonts w:hint="eastAsia" w:ascii="宋体" w:hAnsi="宋体" w:cs="宋体"/>
          <w:color w:val="auto"/>
          <w:sz w:val="24"/>
          <w:szCs w:val="24"/>
          <w:highlight w:val="none"/>
        </w:rPr>
        <w:t>天内不予答复，应视为乙方要求已被确认。乙方认为甲方指令不合理，应在收到指令后</w:t>
      </w:r>
      <w:r>
        <w:rPr>
          <w:rFonts w:ascii="宋体" w:hAnsi="宋体"/>
          <w:color w:val="auto"/>
          <w:sz w:val="24"/>
          <w:szCs w:val="24"/>
          <w:highlight w:val="none"/>
        </w:rPr>
        <w:t>24</w:t>
      </w:r>
      <w:r>
        <w:rPr>
          <w:rFonts w:hint="eastAsia" w:ascii="宋体" w:hAnsi="宋体" w:cs="宋体"/>
          <w:color w:val="auto"/>
          <w:sz w:val="24"/>
          <w:szCs w:val="24"/>
          <w:highlight w:val="none"/>
        </w:rPr>
        <w:t>小时内提出书面报告，甲方在收到乙方报告后</w:t>
      </w:r>
      <w:r>
        <w:rPr>
          <w:rFonts w:ascii="宋体" w:hAnsi="宋体"/>
          <w:color w:val="auto"/>
          <w:sz w:val="24"/>
          <w:szCs w:val="24"/>
          <w:highlight w:val="none"/>
        </w:rPr>
        <w:t>48</w:t>
      </w:r>
      <w:r>
        <w:rPr>
          <w:rFonts w:hint="eastAsia" w:ascii="宋体" w:hAnsi="宋体" w:cs="宋体"/>
          <w:color w:val="auto"/>
          <w:sz w:val="24"/>
          <w:szCs w:val="24"/>
          <w:highlight w:val="none"/>
        </w:rPr>
        <w:t>小时内作出修改指令或继续执行原指令的决定，以书面形式通知乙方。紧急情况下，甲方要求乙方立即执行指令或乙方虽有异议，但甲方决定仍继续执行的指令，乙方应予执行。因指令错误发生的费用和给乙方造成的损失由甲方承担，延误的工期相应顺延。</w:t>
      </w:r>
    </w:p>
    <w:p w14:paraId="43D4DC9D">
      <w:pPr>
        <w:spacing w:line="360" w:lineRule="auto"/>
        <w:ind w:firstLine="241" w:firstLineChars="100"/>
        <w:rPr>
          <w:rFonts w:ascii="宋体" w:hAnsi="宋体"/>
          <w:color w:val="auto"/>
          <w:sz w:val="24"/>
          <w:szCs w:val="24"/>
          <w:highlight w:val="none"/>
        </w:rPr>
      </w:pPr>
      <w:r>
        <w:rPr>
          <w:rFonts w:ascii="宋体" w:hAnsi="宋体"/>
          <w:b/>
          <w:bCs/>
          <w:color w:val="auto"/>
          <w:sz w:val="24"/>
          <w:szCs w:val="24"/>
          <w:highlight w:val="none"/>
        </w:rPr>
        <w:t xml:space="preserve"> </w:t>
      </w:r>
      <w:r>
        <w:rPr>
          <w:rFonts w:ascii="宋体" w:hAnsi="宋体"/>
          <w:color w:val="auto"/>
          <w:sz w:val="24"/>
          <w:szCs w:val="24"/>
          <w:highlight w:val="none"/>
        </w:rPr>
        <w:t>3</w:t>
      </w:r>
      <w:r>
        <w:rPr>
          <w:rFonts w:hint="eastAsia" w:ascii="宋体" w:hAnsi="宋体" w:cs="宋体"/>
          <w:color w:val="auto"/>
          <w:sz w:val="24"/>
          <w:szCs w:val="24"/>
          <w:highlight w:val="none"/>
        </w:rPr>
        <w:t>甲方应按合同约定，及时回复乙方的要求和请求</w:t>
      </w:r>
      <w:r>
        <w:rPr>
          <w:rFonts w:hint="eastAsia" w:ascii="宋体" w:hAnsi="宋体"/>
          <w:color w:val="auto"/>
          <w:sz w:val="24"/>
          <w:szCs w:val="24"/>
          <w:highlight w:val="none"/>
        </w:rPr>
        <w:t>，甲方代表收到通知后3天内不予答复，视为承包人要求已被确认；</w:t>
      </w:r>
    </w:p>
    <w:p w14:paraId="5C423613">
      <w:pPr>
        <w:spacing w:line="360" w:lineRule="auto"/>
        <w:ind w:firstLine="240" w:firstLineChars="100"/>
        <w:rPr>
          <w:rFonts w:ascii="宋体" w:hAnsi="宋体"/>
          <w:color w:val="auto"/>
          <w:sz w:val="24"/>
          <w:szCs w:val="24"/>
          <w:highlight w:val="none"/>
        </w:rPr>
      </w:pPr>
      <w:r>
        <w:rPr>
          <w:rFonts w:ascii="宋体" w:hAnsi="宋体"/>
          <w:color w:val="auto"/>
          <w:sz w:val="24"/>
          <w:szCs w:val="24"/>
          <w:highlight w:val="none"/>
        </w:rPr>
        <w:t xml:space="preserve"> 4</w:t>
      </w:r>
      <w:r>
        <w:rPr>
          <w:rFonts w:hint="eastAsia" w:ascii="宋体" w:hAnsi="宋体" w:cs="宋体"/>
          <w:color w:val="auto"/>
          <w:sz w:val="24"/>
          <w:szCs w:val="24"/>
          <w:highlight w:val="none"/>
        </w:rPr>
        <w:t>.甲方委托的总监理工程师按协议条款的约定，部分或全部行使合同中甲方授权的权力，履行甲方授权的职责，但无权解除合同中乙方的义务。</w:t>
      </w:r>
    </w:p>
    <w:p w14:paraId="7BE0D275">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5</w:t>
      </w:r>
      <w:r>
        <w:rPr>
          <w:rFonts w:hint="eastAsia" w:ascii="宋体" w:hAnsi="宋体" w:cs="宋体"/>
          <w:color w:val="auto"/>
          <w:sz w:val="24"/>
          <w:szCs w:val="24"/>
          <w:highlight w:val="none"/>
        </w:rPr>
        <w:t>.甲方代表和总监理工程师</w:t>
      </w:r>
      <w:r>
        <w:rPr>
          <w:rFonts w:hint="eastAsia" w:ascii="宋体" w:hAnsi="宋体" w:cs="宋体"/>
          <w:color w:val="auto"/>
          <w:sz w:val="24"/>
          <w:szCs w:val="24"/>
          <w:highlight w:val="none"/>
          <w:lang w:val="en-US" w:eastAsia="zh-CN"/>
        </w:rPr>
        <w:t>换</w:t>
      </w:r>
      <w:r>
        <w:rPr>
          <w:rFonts w:hint="eastAsia" w:ascii="宋体" w:hAnsi="宋体" w:cs="宋体"/>
          <w:color w:val="auto"/>
          <w:sz w:val="24"/>
          <w:szCs w:val="24"/>
          <w:highlight w:val="none"/>
        </w:rPr>
        <w:t>人，甲方应提前</w:t>
      </w:r>
      <w:r>
        <w:rPr>
          <w:rFonts w:ascii="宋体" w:hAnsi="宋体"/>
          <w:color w:val="auto"/>
          <w:sz w:val="24"/>
          <w:szCs w:val="24"/>
          <w:highlight w:val="none"/>
        </w:rPr>
        <w:t>7</w:t>
      </w:r>
      <w:r>
        <w:rPr>
          <w:rFonts w:hint="eastAsia" w:ascii="宋体" w:hAnsi="宋体" w:cs="宋体"/>
          <w:color w:val="auto"/>
          <w:sz w:val="24"/>
          <w:szCs w:val="24"/>
          <w:highlight w:val="none"/>
        </w:rPr>
        <w:t>个日历日通知乙方，后任继续承担前任应负的责任（合同文件约定的义务和其职权内的承诺）。</w:t>
      </w:r>
    </w:p>
    <w:p w14:paraId="3BE8D7BD">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cs="宋体"/>
          <w:b/>
          <w:bCs/>
          <w:color w:val="auto"/>
          <w:sz w:val="24"/>
          <w:szCs w:val="24"/>
          <w:highlight w:val="none"/>
        </w:rPr>
        <w:t>6</w:t>
      </w:r>
      <w:r>
        <w:rPr>
          <w:rFonts w:hint="eastAsia" w:ascii="宋体" w:hAnsi="宋体" w:cs="宋体"/>
          <w:b/>
          <w:bCs/>
          <w:color w:val="auto"/>
          <w:sz w:val="24"/>
          <w:szCs w:val="24"/>
          <w:highlight w:val="none"/>
        </w:rPr>
        <w:t>条  乙方工作</w:t>
      </w:r>
    </w:p>
    <w:p w14:paraId="46077187">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乙方按协议条款约定的时间和要求做好以下工作：</w:t>
      </w:r>
    </w:p>
    <w:p w14:paraId="7B06B0F5">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1.工程施工期间对所用水、电应装表计量，并支付相关费用。</w:t>
      </w:r>
    </w:p>
    <w:p w14:paraId="606A7363">
      <w:pPr>
        <w:spacing w:line="360" w:lineRule="auto"/>
        <w:ind w:left="420" w:left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在施工前，参加甲方组织的设计、技术交底，否则，不得进行施工。</w:t>
      </w:r>
    </w:p>
    <w:p w14:paraId="43C93665">
      <w:pPr>
        <w:spacing w:line="360" w:lineRule="auto"/>
        <w:ind w:left="420" w:leftChars="200"/>
        <w:rPr>
          <w:rFonts w:ascii="宋体" w:hAnsi="宋体" w:cs="宋体"/>
          <w:color w:val="auto"/>
          <w:kern w:val="0"/>
          <w:sz w:val="24"/>
          <w:szCs w:val="24"/>
          <w:highlight w:val="none"/>
        </w:rPr>
      </w:pPr>
      <w:r>
        <w:rPr>
          <w:rFonts w:ascii="宋体" w:hAnsi="宋体"/>
          <w:color w:val="auto"/>
          <w:kern w:val="0"/>
          <w:sz w:val="24"/>
          <w:szCs w:val="24"/>
          <w:highlight w:val="none"/>
        </w:rPr>
        <w:t>3.</w:t>
      </w:r>
      <w:r>
        <w:rPr>
          <w:rFonts w:hint="eastAsia" w:ascii="宋体" w:hAnsi="宋体" w:cs="宋体"/>
          <w:color w:val="auto"/>
          <w:kern w:val="0"/>
          <w:sz w:val="24"/>
          <w:szCs w:val="24"/>
          <w:highlight w:val="none"/>
        </w:rPr>
        <w:t>主要材料的采购，从询价、国内技术考察直至建成投产的各阶段，须通知甲方参加（包括技术和经济人员）；同时乙方所采购的材料必须提请甲方进行验收确认，但不解除乙方的相应责任。</w:t>
      </w:r>
    </w:p>
    <w:p w14:paraId="6CF7AD32">
      <w:pPr>
        <w:spacing w:line="360" w:lineRule="auto"/>
        <w:ind w:left="31" w:leftChars="15" w:firstLine="480" w:firstLineChars="200"/>
        <w:rPr>
          <w:rFonts w:ascii="宋体" w:hAnsi="宋体"/>
          <w:color w:val="auto"/>
          <w:kern w:val="0"/>
          <w:sz w:val="24"/>
          <w:szCs w:val="24"/>
          <w:highlight w:val="none"/>
        </w:rPr>
      </w:pPr>
      <w:r>
        <w:rPr>
          <w:rFonts w:ascii="宋体" w:hAnsi="宋体"/>
          <w:color w:val="auto"/>
          <w:kern w:val="0"/>
          <w:sz w:val="24"/>
          <w:szCs w:val="24"/>
          <w:highlight w:val="none"/>
        </w:rPr>
        <w:t>4.</w:t>
      </w:r>
      <w:r>
        <w:rPr>
          <w:rFonts w:hint="eastAsia" w:ascii="宋体" w:hAnsi="宋体" w:cs="宋体"/>
          <w:color w:val="auto"/>
          <w:kern w:val="0"/>
          <w:sz w:val="24"/>
          <w:szCs w:val="24"/>
          <w:highlight w:val="none"/>
        </w:rPr>
        <w:t>按甲方总体进度计划和经甲方批准的施工组织设计进行实施，并于每月20日前向甲方提供下月的月度工程进度计划、月度资金用款计划、本月完成工作量报告及相应进度统计报表、工程事故报告。</w:t>
      </w:r>
    </w:p>
    <w:p w14:paraId="4525A2B2">
      <w:pPr>
        <w:spacing w:line="360" w:lineRule="auto"/>
        <w:ind w:left="420" w:leftChars="200"/>
        <w:rPr>
          <w:rFonts w:ascii="宋体" w:hAnsi="宋体"/>
          <w:color w:val="auto"/>
          <w:kern w:val="0"/>
          <w:sz w:val="24"/>
          <w:szCs w:val="24"/>
          <w:highlight w:val="none"/>
        </w:rPr>
      </w:pPr>
      <w:r>
        <w:rPr>
          <w:rFonts w:ascii="宋体" w:hAnsi="宋体"/>
          <w:color w:val="auto"/>
          <w:kern w:val="0"/>
          <w:sz w:val="24"/>
          <w:szCs w:val="24"/>
          <w:highlight w:val="none"/>
        </w:rPr>
        <w:t>5.</w:t>
      </w:r>
      <w:r>
        <w:rPr>
          <w:rFonts w:hint="eastAsia" w:ascii="宋体" w:hAnsi="宋体" w:cs="宋体"/>
          <w:color w:val="auto"/>
          <w:kern w:val="0"/>
          <w:sz w:val="24"/>
          <w:szCs w:val="24"/>
          <w:highlight w:val="none"/>
        </w:rPr>
        <w:t>按工程需要提供施工使用的照明、看守、围栏和警卫等。如乙方未履行上述义务造成工程财产损失和人身伤害，由乙方承担责任及所发生的费用。</w:t>
      </w:r>
    </w:p>
    <w:p w14:paraId="6997AD7B">
      <w:pPr>
        <w:spacing w:line="360" w:lineRule="auto"/>
        <w:ind w:left="31" w:leftChars="15" w:firstLine="480" w:firstLineChars="200"/>
        <w:rPr>
          <w:rFonts w:ascii="宋体" w:hAnsi="宋体"/>
          <w:color w:val="auto"/>
          <w:kern w:val="0"/>
          <w:sz w:val="24"/>
          <w:szCs w:val="24"/>
          <w:highlight w:val="none"/>
        </w:rPr>
      </w:pPr>
      <w:r>
        <w:rPr>
          <w:rFonts w:ascii="宋体" w:hAnsi="宋体"/>
          <w:color w:val="auto"/>
          <w:kern w:val="0"/>
          <w:sz w:val="24"/>
          <w:szCs w:val="24"/>
          <w:highlight w:val="none"/>
        </w:rPr>
        <w:t>6.</w:t>
      </w:r>
      <w:r>
        <w:rPr>
          <w:rFonts w:hint="eastAsia" w:ascii="宋体" w:hAnsi="宋体" w:cs="宋体"/>
          <w:color w:val="auto"/>
          <w:kern w:val="0"/>
          <w:sz w:val="24"/>
          <w:szCs w:val="24"/>
          <w:highlight w:val="none"/>
        </w:rPr>
        <w:t>遵守地方政府和</w:t>
      </w:r>
      <w:r>
        <w:rPr>
          <w:rFonts w:hint="eastAsia" w:ascii="宋体" w:hAnsi="宋体" w:cs="宋体"/>
          <w:color w:val="auto"/>
          <w:sz w:val="24"/>
          <w:szCs w:val="24"/>
          <w:highlight w:val="none"/>
        </w:rPr>
        <w:t>及</w:t>
      </w:r>
      <w:r>
        <w:rPr>
          <w:rFonts w:hint="eastAsia" w:ascii="宋体" w:hAnsi="宋体" w:cs="宋体"/>
          <w:color w:val="auto"/>
          <w:kern w:val="0"/>
          <w:sz w:val="24"/>
          <w:szCs w:val="24"/>
          <w:highlight w:val="none"/>
        </w:rPr>
        <w:t>有关部门对施工现场管理、施工场地交通、消防和施工噪音等管理规定，遵守</w:t>
      </w:r>
      <w:r>
        <w:rPr>
          <w:rFonts w:hint="eastAsia" w:ascii="宋体" w:hAnsi="宋体" w:cs="宋体"/>
          <w:color w:val="auto"/>
          <w:sz w:val="24"/>
          <w:szCs w:val="24"/>
          <w:highlight w:val="none"/>
        </w:rPr>
        <w:t>甲方相关管理制度，文明施工，</w:t>
      </w:r>
      <w:r>
        <w:rPr>
          <w:rFonts w:hint="eastAsia" w:ascii="宋体" w:hAnsi="宋体" w:cs="宋体"/>
          <w:color w:val="auto"/>
          <w:kern w:val="0"/>
          <w:sz w:val="24"/>
          <w:szCs w:val="24"/>
          <w:highlight w:val="none"/>
        </w:rPr>
        <w:t>办理有关手续，因乙方责任造成的责任后果及由此发生的费用由乙方承担。</w:t>
      </w:r>
    </w:p>
    <w:p w14:paraId="4822F3C1">
      <w:pPr>
        <w:spacing w:line="360" w:lineRule="auto"/>
        <w:ind w:left="420" w:leftChars="200"/>
        <w:rPr>
          <w:rFonts w:ascii="宋体" w:hAnsi="宋体"/>
          <w:color w:val="auto"/>
          <w:kern w:val="0"/>
          <w:sz w:val="24"/>
          <w:szCs w:val="24"/>
          <w:highlight w:val="none"/>
        </w:rPr>
      </w:pPr>
      <w:r>
        <w:rPr>
          <w:rFonts w:ascii="宋体" w:hAnsi="宋体"/>
          <w:color w:val="auto"/>
          <w:kern w:val="0"/>
          <w:sz w:val="24"/>
          <w:szCs w:val="24"/>
          <w:highlight w:val="none"/>
        </w:rPr>
        <w:t>7.</w:t>
      </w:r>
      <w:r>
        <w:rPr>
          <w:rFonts w:hint="eastAsia" w:ascii="宋体" w:hAnsi="宋体" w:cs="宋体"/>
          <w:color w:val="auto"/>
          <w:kern w:val="0"/>
          <w:sz w:val="24"/>
          <w:szCs w:val="24"/>
          <w:highlight w:val="none"/>
        </w:rPr>
        <w:t>已完工工程未交付甲方之前，乙方按协议条款约定负责已完工程的成品保护工作，保护期间发生损坏，乙方自费予以修复。</w:t>
      </w:r>
    </w:p>
    <w:p w14:paraId="0771F3C2">
      <w:pPr>
        <w:spacing w:line="360" w:lineRule="auto"/>
        <w:ind w:left="420" w:leftChars="200"/>
        <w:rPr>
          <w:rFonts w:ascii="宋体" w:hAnsi="宋体"/>
          <w:color w:val="auto"/>
          <w:kern w:val="0"/>
          <w:sz w:val="24"/>
          <w:szCs w:val="24"/>
          <w:highlight w:val="none"/>
        </w:rPr>
      </w:pPr>
      <w:r>
        <w:rPr>
          <w:rFonts w:ascii="宋体" w:hAnsi="宋体"/>
          <w:color w:val="auto"/>
          <w:kern w:val="0"/>
          <w:sz w:val="24"/>
          <w:szCs w:val="24"/>
          <w:highlight w:val="none"/>
        </w:rPr>
        <w:t>8.</w:t>
      </w:r>
      <w:r>
        <w:rPr>
          <w:rFonts w:hint="eastAsia" w:ascii="宋体" w:hAnsi="宋体" w:cs="宋体"/>
          <w:color w:val="auto"/>
          <w:kern w:val="0"/>
          <w:sz w:val="24"/>
          <w:szCs w:val="24"/>
          <w:highlight w:val="none"/>
        </w:rPr>
        <w:t>按合同的要求做好施工现场地下管线和邻近建筑物、构筑物的保护工作。</w:t>
      </w:r>
    </w:p>
    <w:p w14:paraId="30294A37">
      <w:pPr>
        <w:spacing w:line="360" w:lineRule="auto"/>
        <w:ind w:left="420" w:leftChars="200"/>
        <w:rPr>
          <w:rFonts w:ascii="宋体" w:hAnsi="宋体"/>
          <w:color w:val="auto"/>
          <w:sz w:val="24"/>
          <w:szCs w:val="24"/>
          <w:highlight w:val="none"/>
        </w:rPr>
      </w:pPr>
      <w:r>
        <w:rPr>
          <w:rFonts w:ascii="宋体" w:hAnsi="宋体"/>
          <w:color w:val="auto"/>
          <w:sz w:val="24"/>
          <w:szCs w:val="24"/>
          <w:highlight w:val="none"/>
        </w:rPr>
        <w:t>9.</w:t>
      </w:r>
      <w:r>
        <w:rPr>
          <w:rFonts w:hint="eastAsia" w:ascii="宋体" w:hAnsi="宋体" w:cs="宋体"/>
          <w:color w:val="auto"/>
          <w:kern w:val="0"/>
          <w:sz w:val="24"/>
          <w:szCs w:val="24"/>
          <w:highlight w:val="none"/>
        </w:rPr>
        <w:t>保证施工现场清洁符合有关规定。交工前清理现场达到合同文件的要求，承担因违反有关规定造成的损失和罚款。</w:t>
      </w:r>
    </w:p>
    <w:p w14:paraId="630FBAAE">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10.</w:t>
      </w:r>
      <w:r>
        <w:rPr>
          <w:rFonts w:hint="eastAsia" w:ascii="宋体" w:hAnsi="宋体" w:cs="宋体"/>
          <w:color w:val="auto"/>
          <w:sz w:val="24"/>
          <w:szCs w:val="24"/>
          <w:highlight w:val="none"/>
        </w:rPr>
        <w:t>乙方严格安全施工管理，由于乙方违反安全施工规程和现场管理不力造成的损失和责任由乙方承担。</w:t>
      </w:r>
    </w:p>
    <w:p w14:paraId="6B848D49">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11.</w:t>
      </w:r>
      <w:r>
        <w:rPr>
          <w:rFonts w:hint="eastAsia" w:ascii="宋体" w:hAnsi="宋体" w:cs="宋体"/>
          <w:color w:val="auto"/>
          <w:sz w:val="24"/>
          <w:szCs w:val="24"/>
          <w:highlight w:val="none"/>
        </w:rPr>
        <w:t>乙方应在合同规定时间内，按甲方要求提供竣工结算报告、固定资产移交清册、设备清单（含位号）、技术文件目录、工艺操作手册、设备使用说明、维护手册和</w:t>
      </w:r>
      <w:r>
        <w:rPr>
          <w:rFonts w:ascii="宋体" w:hAnsi="宋体"/>
          <w:color w:val="auto"/>
          <w:sz w:val="24"/>
          <w:szCs w:val="24"/>
          <w:highlight w:val="none"/>
        </w:rPr>
        <w:t>/</w:t>
      </w:r>
      <w:r>
        <w:rPr>
          <w:rFonts w:hint="eastAsia" w:ascii="宋体" w:hAnsi="宋体" w:cs="宋体"/>
          <w:color w:val="auto"/>
          <w:sz w:val="24"/>
          <w:szCs w:val="24"/>
          <w:highlight w:val="none"/>
        </w:rPr>
        <w:t>或服务指南等（不仅限于此），进口设备或部件要求提供中文和英文资料。</w:t>
      </w:r>
    </w:p>
    <w:p w14:paraId="442E5054">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12</w:t>
      </w:r>
      <w:r>
        <w:rPr>
          <w:rFonts w:hint="eastAsia" w:ascii="宋体" w:hAnsi="宋体" w:cs="宋体"/>
          <w:color w:val="auto"/>
          <w:sz w:val="24"/>
          <w:szCs w:val="24"/>
          <w:highlight w:val="none"/>
        </w:rPr>
        <w:t>．合同执行过程中若由于乙方责任发生安全、环保事故，由乙方负全责，甲方可协助处理。</w:t>
      </w:r>
    </w:p>
    <w:p w14:paraId="4CB50A50">
      <w:pPr>
        <w:spacing w:line="360" w:lineRule="auto"/>
        <w:ind w:firstLine="480" w:firstLineChars="200"/>
        <w:rPr>
          <w:rFonts w:ascii="宋体" w:hAnsi="宋体" w:cs="宋体"/>
          <w:color w:val="auto"/>
          <w:sz w:val="24"/>
          <w:szCs w:val="24"/>
          <w:highlight w:val="none"/>
        </w:rPr>
      </w:pPr>
      <w:r>
        <w:rPr>
          <w:rFonts w:ascii="宋体" w:hAnsi="宋体"/>
          <w:color w:val="auto"/>
          <w:sz w:val="24"/>
          <w:szCs w:val="24"/>
          <w:highlight w:val="none"/>
        </w:rPr>
        <w:t>13.</w:t>
      </w:r>
      <w:r>
        <w:rPr>
          <w:rFonts w:hint="eastAsia" w:ascii="宋体" w:hAnsi="宋体" w:cs="宋体"/>
          <w:color w:val="auto"/>
          <w:sz w:val="24"/>
          <w:szCs w:val="24"/>
          <w:highlight w:val="none"/>
        </w:rPr>
        <w:t>合同规定需承包人完成的工作（含施工图、工程变更、三查四定等所有工作内容）。</w:t>
      </w:r>
    </w:p>
    <w:p w14:paraId="581FCA78">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cs="宋体"/>
          <w:b/>
          <w:bCs/>
          <w:color w:val="auto"/>
          <w:sz w:val="24"/>
          <w:szCs w:val="24"/>
          <w:highlight w:val="none"/>
        </w:rPr>
        <w:t>7</w:t>
      </w:r>
      <w:r>
        <w:rPr>
          <w:rFonts w:hint="eastAsia" w:ascii="宋体" w:hAnsi="宋体" w:cs="宋体"/>
          <w:b/>
          <w:bCs/>
          <w:color w:val="auto"/>
          <w:sz w:val="24"/>
          <w:szCs w:val="24"/>
          <w:highlight w:val="none"/>
        </w:rPr>
        <w:t>条  乙方驻工地代表</w:t>
      </w:r>
    </w:p>
    <w:p w14:paraId="127DF79E">
      <w:pPr>
        <w:spacing w:line="360" w:lineRule="auto"/>
        <w:ind w:firstLine="420"/>
        <w:rPr>
          <w:rFonts w:hint="eastAsia" w:ascii="宋体" w:hAnsi="宋体" w:cs="宋体"/>
          <w:color w:val="auto"/>
          <w:sz w:val="24"/>
          <w:szCs w:val="24"/>
          <w:highlight w:val="none"/>
        </w:rPr>
      </w:pPr>
      <w:r>
        <w:rPr>
          <w:rFonts w:hint="eastAsia" w:ascii="宋体" w:hAnsi="宋体" w:cs="宋体"/>
          <w:color w:val="auto"/>
          <w:sz w:val="24"/>
          <w:szCs w:val="24"/>
          <w:highlight w:val="none"/>
        </w:rPr>
        <w:t>1.工程总承包项目经理应为合同当事人所确认的人选，并在专用合同条件中明确工程总承包项目经理的姓名、注册执业资格或职称、联系方式及授权范围等事项。工程总承包项目经理应具备履行其职责所需的资格、经验和能力，并为承包人正式聘用的员工，承包人应向发包人提交工程总承包项目经理与承包人之间的劳动合同，以及承包人为工程总承包项目经理缴纳社会保险的有效证明。承包人不提交上述文件的，工程总承包项目经理无权履行职责，发包人有权要求更换工程总承包项目经理，由此增加的费用和（或）延误的工期由承包人承担。同时，发包人有权根据专用合同条件约定要求承包人承担违约责任。</w:t>
      </w:r>
    </w:p>
    <w:p w14:paraId="19DB0543">
      <w:pPr>
        <w:widowControl/>
        <w:spacing w:line="360" w:lineRule="auto"/>
        <w:ind w:firstLine="420"/>
        <w:jc w:val="left"/>
        <w:rPr>
          <w:rFonts w:ascii="宋体" w:hAnsi="宋体" w:cs="宋体"/>
          <w:color w:val="auto"/>
          <w:sz w:val="24"/>
          <w:szCs w:val="24"/>
          <w:highlight w:val="none"/>
        </w:rPr>
      </w:pPr>
      <w:r>
        <w:rPr>
          <w:rFonts w:hint="eastAsia" w:ascii="宋体" w:hAnsi="宋体" w:cs="宋体"/>
          <w:color w:val="auto"/>
          <w:sz w:val="24"/>
          <w:szCs w:val="24"/>
          <w:highlight w:val="none"/>
        </w:rPr>
        <w:t>2.承包人应按合同协议书的约定指派工程总承包项目经理，并在约定的期限内到职。工程总承包项目经理不得同时担任其他工程项目的工程总承包项目经理或施工工程总承包项目经理（含施工总承包工程、专业承包工程）。工程在现场实施的全部时间内，工程总承包项目经理每月在施工现场时间不得少于专用合同条件约定的天数。工程总承包项目经理确需离开施工现场时，应事先通知工程师，并取得发包人的书面同意。工程总承包项目经理未经批准擅自离开施工现场的，承包人应按照专用合同条件的约定承担违约责任。工程总承包项目经理的通知中应当载明临时代行其职责的人员的注册执业资格、管理经验等资料，该人员应具备履行相应职责的资格、经验和能力。承包人应根据本合同的约定授予工程总承包项目经理代表承包人履行合同所需的权利，工程总承包项目经理权限以专用合同条件中约定的权限为准。经承包人授权后，工程总承包项目经理应按合同约定以及工程师按第</w:t>
      </w:r>
      <w:r>
        <w:rPr>
          <w:rFonts w:ascii="宋体" w:hAnsi="宋体" w:cs="宋体"/>
          <w:color w:val="auto"/>
          <w:sz w:val="24"/>
          <w:szCs w:val="24"/>
          <w:highlight w:val="none"/>
        </w:rPr>
        <w:t>3.5</w:t>
      </w:r>
      <w:r>
        <w:rPr>
          <w:rFonts w:hint="eastAsia" w:ascii="宋体" w:hAnsi="宋体" w:cs="宋体"/>
          <w:color w:val="auto"/>
          <w:sz w:val="24"/>
          <w:szCs w:val="24"/>
          <w:highlight w:val="none"/>
        </w:rPr>
        <w:t>款[指示]作出的指示，代表承包人负责组织合同的实施。在紧急情况下，且无法与发包人和工程师取得联系时，工程总承包项目经理有权采取必要的措施保证人身、工程和财产的安全，但须在事后48小时内向工程师送交书面报告。</w:t>
      </w:r>
    </w:p>
    <w:p w14:paraId="433EC742">
      <w:pPr>
        <w:widowControl/>
        <w:spacing w:line="360" w:lineRule="auto"/>
        <w:ind w:firstLine="420"/>
        <w:jc w:val="left"/>
        <w:rPr>
          <w:rFonts w:ascii="宋体" w:hAnsi="宋体" w:cs="宋体"/>
          <w:color w:val="auto"/>
          <w:sz w:val="24"/>
          <w:szCs w:val="24"/>
          <w:highlight w:val="none"/>
        </w:rPr>
      </w:pPr>
      <w:bookmarkStart w:id="402" w:name="_Ref4426412"/>
      <w:r>
        <w:rPr>
          <w:rFonts w:hint="eastAsia" w:ascii="宋体" w:hAnsi="宋体" w:cs="宋体"/>
          <w:color w:val="auto"/>
          <w:sz w:val="24"/>
          <w:szCs w:val="24"/>
          <w:highlight w:val="none"/>
        </w:rPr>
        <w:t>3.承包人需要更换工程总承包项目经理的，应提前7天书面通知发包人并抄送工程师，征得发包人书面同意。通知中应当载明继任工程总承包项目经理的注册执业资格、管理经验等资料，继任工程总承包项目经理继续履行本合同约定的职责。未经发包人书面同意，承包人不得擅自更换工程总承包项目经理，在发包人未予以书面回复期间内，工程总承包项目经理将继续履行其职责。工程总承包项目经理突发丧失履行职务能力的，承包人应当及时委派一位具有相应资格能力的人员担任临时工程总承包项目经理，履行工程总承包项目经理的职责，临时工程总承包项目经理将履行职责直至发包人同意新的工程总承包项目经理的任命之日止。承包人擅自更换工程总承包项目经理的，</w:t>
      </w:r>
      <w:bookmarkStart w:id="403" w:name="_Hlk55056591"/>
      <w:r>
        <w:rPr>
          <w:rFonts w:hint="eastAsia" w:ascii="宋体" w:hAnsi="宋体" w:cs="宋体"/>
          <w:color w:val="auto"/>
          <w:sz w:val="24"/>
          <w:szCs w:val="24"/>
          <w:highlight w:val="none"/>
        </w:rPr>
        <w:t>应按照专用合同条件的约定承担违约责任。</w:t>
      </w:r>
      <w:bookmarkEnd w:id="402"/>
      <w:bookmarkEnd w:id="403"/>
    </w:p>
    <w:p w14:paraId="150C01F7">
      <w:pPr>
        <w:widowControl/>
        <w:spacing w:line="360" w:lineRule="auto"/>
        <w:ind w:firstLine="420"/>
        <w:jc w:val="left"/>
        <w:rPr>
          <w:rFonts w:ascii="宋体" w:hAnsi="宋体" w:cs="宋体"/>
          <w:color w:val="auto"/>
          <w:sz w:val="24"/>
          <w:szCs w:val="24"/>
          <w:highlight w:val="none"/>
        </w:rPr>
      </w:pPr>
      <w:bookmarkStart w:id="404" w:name="_Ref531952137"/>
      <w:r>
        <w:rPr>
          <w:rFonts w:hint="eastAsia" w:ascii="宋体" w:hAnsi="宋体" w:cs="宋体"/>
          <w:color w:val="auto"/>
          <w:sz w:val="24"/>
          <w:szCs w:val="24"/>
          <w:highlight w:val="none"/>
        </w:rPr>
        <w:t>4</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发包人有权书面通知承包人要求更换其认为不称职的工程总承包项目经理，通知中应当载明要求更换的理由。承包人应在接到更换通知后14天内向发包人提出书面的改进报告。如承包人没有提出改进报告，应在收到更换通知后</w:t>
      </w:r>
      <w:r>
        <w:rPr>
          <w:rFonts w:ascii="宋体" w:hAnsi="宋体" w:cs="宋体"/>
          <w:color w:val="auto"/>
          <w:sz w:val="24"/>
          <w:szCs w:val="24"/>
          <w:highlight w:val="none"/>
        </w:rPr>
        <w:t>28天内更换项目经理。</w:t>
      </w:r>
      <w:r>
        <w:rPr>
          <w:rFonts w:hint="eastAsia" w:ascii="宋体" w:hAnsi="宋体" w:cs="宋体"/>
          <w:color w:val="auto"/>
          <w:sz w:val="24"/>
          <w:szCs w:val="24"/>
          <w:highlight w:val="none"/>
        </w:rPr>
        <w:t>发包人收到改进报告后仍要求更换的，承包人应在接到第二次更换通知的28天内进行更换，并将新任命的工程总承包项目经理的注册执业资格、管理经验等资料书面通知发包人。继任工程总承包项目经理继续履行本合同约定的职责。承包人无正当理由拒绝更换工程总承包项目经理的，应按照专用合同条件的约定承担违约责任。</w:t>
      </w:r>
      <w:bookmarkEnd w:id="404"/>
    </w:p>
    <w:p w14:paraId="4D56C76B">
      <w:pPr>
        <w:widowControl/>
        <w:spacing w:line="360" w:lineRule="auto"/>
        <w:ind w:firstLine="420"/>
        <w:jc w:val="left"/>
        <w:rPr>
          <w:rFonts w:ascii="宋体" w:hAnsi="宋体" w:cs="宋体"/>
          <w:color w:val="auto"/>
          <w:sz w:val="24"/>
          <w:szCs w:val="24"/>
          <w:highlight w:val="none"/>
        </w:rPr>
      </w:pPr>
      <w:bookmarkStart w:id="405" w:name="_Ref122620"/>
      <w:r>
        <w:rPr>
          <w:rFonts w:hint="eastAsia" w:ascii="宋体" w:hAnsi="宋体" w:cs="宋体"/>
          <w:color w:val="auto"/>
          <w:sz w:val="24"/>
          <w:szCs w:val="24"/>
          <w:highlight w:val="none"/>
        </w:rPr>
        <w:t>5.工程总承包项目经理因特殊情况授权其下属人员履行其某项工作职责的，该下属人员应具备履行相应职责的能力，并应事先将上述人员的姓名、注册执业资格、管理经验等信息和授权范围书面通知发包人并抄送工程师，征得发包人书面同意。</w:t>
      </w:r>
      <w:bookmarkEnd w:id="405"/>
    </w:p>
    <w:p w14:paraId="7F055E2F">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6</w:t>
      </w:r>
      <w:r>
        <w:rPr>
          <w:rFonts w:ascii="宋体" w:hAnsi="宋体" w:cs="宋体"/>
          <w:color w:val="auto"/>
          <w:sz w:val="24"/>
          <w:szCs w:val="24"/>
          <w:highlight w:val="none"/>
        </w:rPr>
        <w:t>.</w:t>
      </w:r>
      <w:r>
        <w:rPr>
          <w:rFonts w:hint="eastAsia" w:ascii="宋体" w:hAnsi="宋体" w:cs="宋体"/>
          <w:color w:val="auto"/>
          <w:sz w:val="24"/>
          <w:szCs w:val="24"/>
          <w:highlight w:val="none"/>
        </w:rPr>
        <w:t>乙方的要求、请求和通知，以书面形式由乙方代表签字后送交监理、甲方，监理或甲方代表在回执上签署意见和收到时间后生效。</w:t>
      </w:r>
    </w:p>
    <w:p w14:paraId="7BA083EE">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7</w:t>
      </w:r>
      <w:r>
        <w:rPr>
          <w:rFonts w:ascii="宋体" w:hAnsi="宋体"/>
          <w:color w:val="auto"/>
          <w:sz w:val="24"/>
          <w:szCs w:val="24"/>
          <w:highlight w:val="none"/>
        </w:rPr>
        <w:t>.</w:t>
      </w:r>
      <w:r>
        <w:rPr>
          <w:rFonts w:hint="eastAsia" w:ascii="宋体" w:hAnsi="宋体" w:cs="宋体"/>
          <w:color w:val="auto"/>
          <w:sz w:val="24"/>
          <w:szCs w:val="24"/>
          <w:highlight w:val="none"/>
        </w:rPr>
        <w:t>出现紧急情况且无法与监理、甲方联系时，可采取保证工程和人员生命、财产安全的紧急措施，并在采取措施后</w:t>
      </w:r>
      <w:r>
        <w:rPr>
          <w:rFonts w:ascii="宋体" w:hAnsi="宋体"/>
          <w:color w:val="auto"/>
          <w:sz w:val="24"/>
          <w:szCs w:val="24"/>
          <w:highlight w:val="none"/>
        </w:rPr>
        <w:t>24</w:t>
      </w:r>
      <w:r>
        <w:rPr>
          <w:rFonts w:hint="eastAsia" w:ascii="宋体" w:hAnsi="宋体" w:cs="宋体"/>
          <w:color w:val="auto"/>
          <w:sz w:val="24"/>
          <w:szCs w:val="24"/>
          <w:highlight w:val="none"/>
        </w:rPr>
        <w:t>小时内向甲方送交报告。责任在甲方，由甲方承担由此发生的经济支出，工期相应顺延；责任在乙方，由乙方承担费用并立即整改，工期不予顺延。</w:t>
      </w:r>
    </w:p>
    <w:p w14:paraId="3DA22A0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8</w:t>
      </w:r>
      <w:r>
        <w:rPr>
          <w:rFonts w:ascii="宋体" w:hAnsi="宋体"/>
          <w:color w:val="auto"/>
          <w:sz w:val="24"/>
          <w:szCs w:val="24"/>
          <w:highlight w:val="none"/>
        </w:rPr>
        <w:t>.</w:t>
      </w:r>
      <w:r>
        <w:rPr>
          <w:rFonts w:hint="eastAsia" w:ascii="宋体" w:hAnsi="宋体" w:cs="宋体"/>
          <w:color w:val="auto"/>
          <w:sz w:val="24"/>
          <w:szCs w:val="24"/>
          <w:highlight w:val="none"/>
        </w:rPr>
        <w:t>由于乙方自身原因，造成工程质量事故，应负责采取补救措施，并承担由此造成的经济损失。</w:t>
      </w:r>
    </w:p>
    <w:p w14:paraId="5F5B960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w:t>
      </w:r>
      <w:r>
        <w:rPr>
          <w:rFonts w:hint="eastAsia" w:ascii="宋体" w:hAnsi="宋体" w:cs="宋体"/>
          <w:color w:val="auto"/>
          <w:sz w:val="24"/>
          <w:szCs w:val="24"/>
          <w:highlight w:val="none"/>
        </w:rPr>
        <w:t>乙方代表易人应提前</w:t>
      </w:r>
      <w:r>
        <w:rPr>
          <w:rFonts w:ascii="宋体" w:hAnsi="宋体"/>
          <w:color w:val="auto"/>
          <w:sz w:val="24"/>
          <w:szCs w:val="24"/>
          <w:highlight w:val="none"/>
        </w:rPr>
        <w:t>7</w:t>
      </w:r>
      <w:r>
        <w:rPr>
          <w:rFonts w:hint="eastAsia" w:ascii="宋体" w:hAnsi="宋体" w:cs="宋体"/>
          <w:color w:val="auto"/>
          <w:sz w:val="24"/>
          <w:szCs w:val="24"/>
          <w:highlight w:val="none"/>
        </w:rPr>
        <w:t>个日历日通知甲方，并需经甲方同意。后任继续承担前任应负的责任（合同文件约定的义务和其职权内的承诺）。</w:t>
      </w:r>
    </w:p>
    <w:p w14:paraId="6DFBC2A9">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10</w:t>
      </w:r>
      <w:r>
        <w:rPr>
          <w:rFonts w:ascii="宋体" w:hAnsi="宋体"/>
          <w:color w:val="auto"/>
          <w:sz w:val="24"/>
          <w:szCs w:val="24"/>
          <w:highlight w:val="none"/>
        </w:rPr>
        <w:t>.</w:t>
      </w:r>
      <w:r>
        <w:rPr>
          <w:rFonts w:hint="eastAsia" w:ascii="宋体" w:hAnsi="宋体" w:cs="宋体"/>
          <w:color w:val="auto"/>
          <w:sz w:val="24"/>
          <w:szCs w:val="24"/>
          <w:highlight w:val="none"/>
        </w:rPr>
        <w:t>在施工中，应落实各项安全防护措施，因乙方原因造成甲方人员或周边人员伤亡而发生的费用、法律责任由乙方承担。</w:t>
      </w:r>
    </w:p>
    <w:p w14:paraId="2F458401">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8</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文明施工</w:t>
      </w:r>
    </w:p>
    <w:p w14:paraId="373EC0ED">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乙方在施工中，不得影响周围生产、交通、污染水源及厂区道路、公路。因以上原因造成损失和发生的费用由乙方承担。</w:t>
      </w:r>
    </w:p>
    <w:p w14:paraId="48F5089B">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工程完工时，乙方应清除所施工范围内全部施工垃圾及余土，对施工现场进行清扫，做到工完、料尽、场地清。</w:t>
      </w:r>
    </w:p>
    <w:p w14:paraId="1B133267">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工程完工后二个月内，将甲方提供给乙方使用的场地交还甲方，乙方不得将场地租让或转让给他人。逾期未归还甲方，按每逾期一个月向甲方支付场地租金</w:t>
      </w:r>
      <w:r>
        <w:rPr>
          <w:rFonts w:ascii="宋体" w:hAnsi="宋体"/>
          <w:color w:val="auto"/>
          <w:sz w:val="24"/>
          <w:szCs w:val="24"/>
          <w:highlight w:val="none"/>
        </w:rPr>
        <w:t>10000</w:t>
      </w:r>
      <w:r>
        <w:rPr>
          <w:rFonts w:hint="eastAsia" w:ascii="宋体" w:hAnsi="宋体" w:cs="宋体"/>
          <w:color w:val="auto"/>
          <w:sz w:val="24"/>
          <w:szCs w:val="24"/>
          <w:highlight w:val="none"/>
        </w:rPr>
        <w:t>元。</w:t>
      </w:r>
    </w:p>
    <w:p w14:paraId="0234FD96">
      <w:pPr>
        <w:spacing w:line="360" w:lineRule="auto"/>
        <w:ind w:firstLine="480" w:firstLineChars="200"/>
        <w:rPr>
          <w:rFonts w:ascii="宋体" w:hAnsi="宋体"/>
          <w:b/>
          <w:bCs/>
          <w:color w:val="auto"/>
          <w:sz w:val="24"/>
          <w:szCs w:val="24"/>
          <w:highlight w:val="none"/>
        </w:rPr>
      </w:pPr>
      <w:r>
        <w:rPr>
          <w:rFonts w:ascii="宋体" w:hAnsi="宋体"/>
          <w:color w:val="auto"/>
          <w:sz w:val="24"/>
          <w:szCs w:val="24"/>
          <w:highlight w:val="none"/>
        </w:rPr>
        <w:t>4.</w:t>
      </w:r>
      <w:r>
        <w:rPr>
          <w:rFonts w:hint="eastAsia" w:ascii="宋体" w:hAnsi="宋体" w:cs="宋体"/>
          <w:color w:val="auto"/>
          <w:sz w:val="24"/>
          <w:szCs w:val="24"/>
          <w:highlight w:val="none"/>
        </w:rPr>
        <w:t>乙方不履行上述各项义务，造成工期延误和工程损失，应对甲方的损失给予赔偿</w:t>
      </w:r>
      <w:r>
        <w:rPr>
          <w:rFonts w:hint="eastAsia" w:ascii="宋体" w:hAnsi="宋体" w:cs="宋体"/>
          <w:b/>
          <w:bCs/>
          <w:color w:val="auto"/>
          <w:sz w:val="24"/>
          <w:szCs w:val="24"/>
          <w:highlight w:val="none"/>
        </w:rPr>
        <w:t>。</w:t>
      </w:r>
    </w:p>
    <w:p w14:paraId="47651459">
      <w:pPr>
        <w:pStyle w:val="36"/>
        <w:spacing w:before="0" w:after="0" w:line="360" w:lineRule="auto"/>
        <w:ind w:right="24"/>
        <w:outlineLvl w:val="0"/>
        <w:rPr>
          <w:rFonts w:ascii="宋体" w:hAnsi="宋体"/>
          <w:b/>
          <w:bCs/>
          <w:color w:val="auto"/>
          <w:spacing w:val="6"/>
          <w:szCs w:val="24"/>
          <w:highlight w:val="none"/>
        </w:rPr>
      </w:pPr>
      <w:bookmarkStart w:id="406" w:name="_Toc72846728"/>
      <w:bookmarkStart w:id="407" w:name="_Toc72846879"/>
      <w:r>
        <w:rPr>
          <w:rFonts w:hint="eastAsia" w:ascii="宋体" w:hAnsi="宋体"/>
          <w:b/>
          <w:bCs/>
          <w:color w:val="auto"/>
          <w:spacing w:val="6"/>
          <w:szCs w:val="24"/>
          <w:highlight w:val="none"/>
        </w:rPr>
        <w:t>三、施工组织设计</w:t>
      </w:r>
      <w:bookmarkEnd w:id="406"/>
      <w:bookmarkEnd w:id="407"/>
    </w:p>
    <w:p w14:paraId="2F0008BD">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9</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进度计划</w:t>
      </w:r>
    </w:p>
    <w:p w14:paraId="20ED096B">
      <w:pPr>
        <w:spacing w:line="360" w:lineRule="auto"/>
        <w:ind w:firstLine="480" w:firstLineChars="200"/>
        <w:rPr>
          <w:rFonts w:ascii="宋体" w:hAnsi="宋体"/>
          <w:b/>
          <w:bCs/>
          <w:color w:val="auto"/>
          <w:sz w:val="24"/>
          <w:szCs w:val="24"/>
          <w:highlight w:val="none"/>
        </w:rPr>
      </w:pPr>
      <w:r>
        <w:rPr>
          <w:rFonts w:ascii="宋体" w:hAnsi="宋体"/>
          <w:bCs/>
          <w:color w:val="auto"/>
          <w:sz w:val="24"/>
          <w:szCs w:val="24"/>
          <w:highlight w:val="none"/>
        </w:rPr>
        <w:t>1.</w:t>
      </w:r>
      <w:r>
        <w:rPr>
          <w:rFonts w:hint="eastAsia" w:ascii="宋体" w:hAnsi="宋体" w:cs="宋体"/>
          <w:color w:val="auto"/>
          <w:sz w:val="24"/>
          <w:szCs w:val="24"/>
          <w:highlight w:val="none"/>
        </w:rPr>
        <w:t>乙方应</w:t>
      </w:r>
      <w:r>
        <w:rPr>
          <w:rFonts w:hint="eastAsia" w:ascii="宋体" w:hAnsi="宋体"/>
          <w:color w:val="auto"/>
          <w:kern w:val="0"/>
          <w:sz w:val="24"/>
          <w:szCs w:val="24"/>
          <w:highlight w:val="none"/>
        </w:rPr>
        <w:t>在</w:t>
      </w:r>
      <w:r>
        <w:rPr>
          <w:rFonts w:ascii="宋体" w:hAnsi="宋体" w:cs="宋体"/>
          <w:color w:val="auto"/>
          <w:sz w:val="24"/>
          <w:szCs w:val="24"/>
          <w:highlight w:val="none"/>
        </w:rPr>
        <w:t>合同签订后14日内，但最迟不得晚于开工日期前7日</w:t>
      </w:r>
      <w:r>
        <w:rPr>
          <w:rFonts w:hint="eastAsia" w:ascii="宋体" w:hAnsi="宋体"/>
          <w:color w:val="auto"/>
          <w:sz w:val="24"/>
          <w:szCs w:val="24"/>
          <w:highlight w:val="none"/>
        </w:rPr>
        <w:t>，</w:t>
      </w:r>
      <w:r>
        <w:rPr>
          <w:rFonts w:hint="eastAsia" w:ascii="宋体" w:hAnsi="宋体"/>
          <w:color w:val="auto"/>
          <w:kern w:val="0"/>
          <w:sz w:val="24"/>
          <w:szCs w:val="24"/>
          <w:highlight w:val="none"/>
        </w:rPr>
        <w:t>提交详细的施工进度网络控制计划、质量保证体系、施工组织设计、详细施工技术方案、吊装方案和安全作业规程、人员计划、分部分项工程的完整的施工方案</w:t>
      </w:r>
      <w:r>
        <w:rPr>
          <w:rFonts w:hint="eastAsia" w:ascii="宋体" w:hAnsi="宋体" w:cs="宋体"/>
          <w:color w:val="auto"/>
          <w:sz w:val="24"/>
          <w:szCs w:val="24"/>
          <w:highlight w:val="none"/>
        </w:rPr>
        <w:t>（含设备及材料采购计划）</w:t>
      </w:r>
      <w:r>
        <w:rPr>
          <w:rFonts w:hint="eastAsia" w:ascii="宋体" w:hAnsi="宋体"/>
          <w:color w:val="auto"/>
          <w:kern w:val="0"/>
          <w:sz w:val="24"/>
          <w:szCs w:val="24"/>
          <w:highlight w:val="none"/>
        </w:rPr>
        <w:t>报监理和甲方审批。</w:t>
      </w:r>
      <w:r>
        <w:rPr>
          <w:rFonts w:hint="eastAsia" w:ascii="宋体" w:hAnsi="宋体" w:cs="宋体"/>
          <w:color w:val="auto"/>
          <w:sz w:val="24"/>
          <w:szCs w:val="24"/>
          <w:highlight w:val="none"/>
        </w:rPr>
        <w:t>监理、甲方应在</w:t>
      </w:r>
      <w:r>
        <w:rPr>
          <w:rFonts w:ascii="宋体" w:hAnsi="宋体"/>
          <w:color w:val="auto"/>
          <w:sz w:val="24"/>
          <w:szCs w:val="24"/>
          <w:highlight w:val="none"/>
        </w:rPr>
        <w:t>7</w:t>
      </w:r>
      <w:r>
        <w:rPr>
          <w:rFonts w:hint="eastAsia" w:ascii="宋体" w:hAnsi="宋体" w:cs="宋体"/>
          <w:color w:val="auto"/>
          <w:sz w:val="24"/>
          <w:szCs w:val="24"/>
          <w:highlight w:val="none"/>
        </w:rPr>
        <w:t>个工作日内予以批准或提出修改意见并书面返回给乙方，逾期不批复，可视为已经批准。</w:t>
      </w:r>
    </w:p>
    <w:p w14:paraId="79AFBE94">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乙方必须按批准的工程实施计划组织采购、施工，接受甲方对进度的检查、监督。工程实际进度与经确认的进度计划不符并预计会影响工程总进度时，乙方应在接到监理书面通知后</w:t>
      </w:r>
      <w:r>
        <w:rPr>
          <w:rFonts w:ascii="宋体" w:hAnsi="宋体"/>
          <w:color w:val="auto"/>
          <w:sz w:val="24"/>
          <w:szCs w:val="24"/>
          <w:highlight w:val="none"/>
        </w:rPr>
        <w:t>24</w:t>
      </w:r>
      <w:r>
        <w:rPr>
          <w:rFonts w:hint="eastAsia" w:ascii="宋体" w:hAnsi="宋体" w:cs="宋体"/>
          <w:color w:val="auto"/>
          <w:sz w:val="24"/>
          <w:szCs w:val="24"/>
          <w:highlight w:val="none"/>
        </w:rPr>
        <w:t>小时内提出改进措施，并报监理和甲方审批，乙方应在接到甲方和监理书面批准后</w:t>
      </w:r>
      <w:r>
        <w:rPr>
          <w:rFonts w:ascii="宋体" w:hAnsi="宋体"/>
          <w:color w:val="auto"/>
          <w:sz w:val="24"/>
          <w:szCs w:val="24"/>
          <w:highlight w:val="none"/>
        </w:rPr>
        <w:t>24</w:t>
      </w:r>
      <w:r>
        <w:rPr>
          <w:rFonts w:hint="eastAsia" w:ascii="宋体" w:hAnsi="宋体" w:cs="宋体"/>
          <w:color w:val="auto"/>
          <w:sz w:val="24"/>
          <w:szCs w:val="24"/>
          <w:highlight w:val="none"/>
        </w:rPr>
        <w:t>小时内执行；因乙方原因导致实际进度与计划进度不符时，乙方无权就改进措施提出追加合同价款和延长工期等要求，并承担相应的责任。</w:t>
      </w:r>
    </w:p>
    <w:p w14:paraId="790DB11C">
      <w:pPr>
        <w:spacing w:line="360" w:lineRule="auto"/>
        <w:ind w:left="420" w:left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每月</w:t>
      </w:r>
      <w:r>
        <w:rPr>
          <w:rFonts w:hint="eastAsia" w:ascii="宋体" w:hAnsi="宋体"/>
          <w:color w:val="auto"/>
          <w:sz w:val="24"/>
          <w:szCs w:val="24"/>
          <w:highlight w:val="none"/>
        </w:rPr>
        <w:t>20日</w:t>
      </w:r>
      <w:r>
        <w:rPr>
          <w:rFonts w:hint="eastAsia" w:ascii="宋体" w:hAnsi="宋体" w:cs="宋体"/>
          <w:color w:val="auto"/>
          <w:sz w:val="24"/>
          <w:szCs w:val="24"/>
          <w:highlight w:val="none"/>
        </w:rPr>
        <w:t>承包人应向甲方提交下月采购、施工进度计划报表。</w:t>
      </w:r>
    </w:p>
    <w:p w14:paraId="645C295F">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cs="宋体"/>
          <w:b/>
          <w:bCs/>
          <w:color w:val="auto"/>
          <w:sz w:val="24"/>
          <w:szCs w:val="24"/>
          <w:highlight w:val="none"/>
        </w:rPr>
        <w:t>10</w:t>
      </w:r>
      <w:r>
        <w:rPr>
          <w:rFonts w:hint="eastAsia" w:ascii="宋体" w:hAnsi="宋体" w:cs="宋体"/>
          <w:b/>
          <w:bCs/>
          <w:color w:val="auto"/>
          <w:sz w:val="24"/>
          <w:szCs w:val="24"/>
          <w:highlight w:val="none"/>
        </w:rPr>
        <w:t>条  延期开工</w:t>
      </w:r>
    </w:p>
    <w:p w14:paraId="59BB2BFD">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乙方按协议条款约定的开工日期或监理工程师开工令日期开始实施。乙方不能按时开工，应在协议条款约定的开工日期</w:t>
      </w:r>
      <w:r>
        <w:rPr>
          <w:rFonts w:ascii="宋体" w:hAnsi="宋体"/>
          <w:color w:val="auto"/>
          <w:sz w:val="24"/>
          <w:szCs w:val="24"/>
          <w:highlight w:val="none"/>
        </w:rPr>
        <w:t>7</w:t>
      </w:r>
      <w:r>
        <w:rPr>
          <w:rFonts w:hint="eastAsia" w:ascii="宋体" w:hAnsi="宋体" w:cs="宋体"/>
          <w:color w:val="auto"/>
          <w:sz w:val="24"/>
          <w:szCs w:val="24"/>
          <w:highlight w:val="none"/>
        </w:rPr>
        <w:t>天之前，向甲方提出延期开工的理由和要求。甲方在</w:t>
      </w:r>
      <w:r>
        <w:rPr>
          <w:rFonts w:ascii="宋体" w:hAnsi="宋体"/>
          <w:color w:val="auto"/>
          <w:sz w:val="24"/>
          <w:szCs w:val="24"/>
          <w:highlight w:val="none"/>
        </w:rPr>
        <w:t>3</w:t>
      </w:r>
      <w:r>
        <w:rPr>
          <w:rFonts w:hint="eastAsia" w:ascii="宋体" w:hAnsi="宋体" w:cs="宋体"/>
          <w:color w:val="auto"/>
          <w:sz w:val="24"/>
          <w:szCs w:val="24"/>
          <w:highlight w:val="none"/>
        </w:rPr>
        <w:t>天内不予答复，可视为已同意乙方要求。甲方不同意延期要求或乙方未在规定时间内提出延期开工要求，竣工日期不予顺延。</w:t>
      </w:r>
    </w:p>
    <w:p w14:paraId="55C84A85">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因甲方原因不能按约定的开工日期开工，甲方以书面形式通知乙方后可推迟开工日期，工期相应顺延。</w:t>
      </w:r>
    </w:p>
    <w:p w14:paraId="094D77FC">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第11条  暂停施工</w:t>
      </w:r>
    </w:p>
    <w:p w14:paraId="0C5ACECE">
      <w:pPr>
        <w:spacing w:line="360" w:lineRule="auto"/>
        <w:ind w:firstLine="480" w:firstLineChars="200"/>
        <w:rPr>
          <w:rFonts w:ascii="宋体" w:hAnsi="宋体"/>
          <w:b/>
          <w:bCs/>
          <w:color w:val="auto"/>
          <w:sz w:val="24"/>
          <w:szCs w:val="24"/>
          <w:highlight w:val="none"/>
        </w:rPr>
      </w:pPr>
      <w:r>
        <w:rPr>
          <w:rFonts w:hint="eastAsia" w:ascii="宋体" w:hAnsi="宋体" w:cs="宋体"/>
          <w:color w:val="auto"/>
          <w:sz w:val="24"/>
          <w:szCs w:val="24"/>
          <w:highlight w:val="none"/>
        </w:rPr>
        <w:t>甲方在确有必要时，有权以书面形式要求乙方暂停施工，并在提出要求后</w:t>
      </w:r>
      <w:r>
        <w:rPr>
          <w:rFonts w:ascii="宋体" w:hAnsi="宋体"/>
          <w:color w:val="auto"/>
          <w:sz w:val="24"/>
          <w:szCs w:val="24"/>
          <w:highlight w:val="none"/>
        </w:rPr>
        <w:t>48</w:t>
      </w:r>
      <w:r>
        <w:rPr>
          <w:rFonts w:hint="eastAsia" w:ascii="宋体" w:hAnsi="宋体" w:cs="宋体"/>
          <w:color w:val="auto"/>
          <w:sz w:val="24"/>
          <w:szCs w:val="24"/>
          <w:highlight w:val="none"/>
        </w:rPr>
        <w:t>小时内提出处理意见。乙方按甲方要求停止施工，妥善保护已完工程，实施甲方处理意见后向其提出复工要求，甲方批准后继续施工。甲方未能在规定时间内提出处理意见，或收到乙方复工要求后</w:t>
      </w:r>
      <w:r>
        <w:rPr>
          <w:rFonts w:hint="eastAsia" w:ascii="宋体" w:hAnsi="宋体"/>
          <w:color w:val="auto"/>
          <w:sz w:val="24"/>
          <w:szCs w:val="24"/>
          <w:highlight w:val="none"/>
          <w:lang w:val="en-US" w:eastAsia="zh-CN"/>
        </w:rPr>
        <w:t>48</w:t>
      </w:r>
      <w:r>
        <w:rPr>
          <w:rFonts w:hint="eastAsia" w:ascii="宋体" w:hAnsi="宋体" w:cs="宋体"/>
          <w:color w:val="auto"/>
          <w:sz w:val="24"/>
          <w:szCs w:val="24"/>
          <w:highlight w:val="none"/>
        </w:rPr>
        <w:t>小时内未予答复，乙方可自行复工。停工责任在甲方，由甲方承担经济支出，工期相应顺延；停工责任在乙方，由乙方承担发生的费用，工期不予顺延。</w:t>
      </w:r>
    </w:p>
    <w:p w14:paraId="3FA5E030">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第12条  工期延误</w:t>
      </w:r>
    </w:p>
    <w:p w14:paraId="704598EB">
      <w:pPr>
        <w:spacing w:line="360" w:lineRule="auto"/>
        <w:ind w:firstLine="480" w:firstLineChars="200"/>
        <w:rPr>
          <w:rFonts w:ascii="宋体" w:hAnsi="宋体"/>
          <w:color w:val="auto"/>
          <w:sz w:val="24"/>
          <w:szCs w:val="24"/>
          <w:highlight w:val="none"/>
        </w:rPr>
      </w:pPr>
      <w:r>
        <w:rPr>
          <w:rFonts w:ascii="宋体" w:hAnsi="宋体" w:cs="宋体"/>
          <w:color w:val="auto"/>
          <w:sz w:val="24"/>
          <w:szCs w:val="24"/>
          <w:highlight w:val="none"/>
        </w:rPr>
        <w:t>1.</w:t>
      </w:r>
      <w:r>
        <w:rPr>
          <w:rFonts w:hint="eastAsia" w:ascii="宋体" w:hAnsi="宋体" w:cs="宋体"/>
          <w:color w:val="auto"/>
          <w:sz w:val="24"/>
          <w:szCs w:val="24"/>
          <w:highlight w:val="none"/>
        </w:rPr>
        <w:t>对不可抗力造成竣工日期推迟的延误，经甲方确认，工期相应顺延。</w:t>
      </w:r>
    </w:p>
    <w:p w14:paraId="7F993892">
      <w:pPr>
        <w:spacing w:line="360" w:lineRule="auto"/>
        <w:ind w:firstLine="480" w:firstLineChars="200"/>
        <w:rPr>
          <w:rFonts w:ascii="宋体" w:hAnsi="宋体"/>
          <w:color w:val="auto"/>
          <w:sz w:val="24"/>
          <w:szCs w:val="24"/>
          <w:highlight w:val="none"/>
        </w:rPr>
      </w:pPr>
      <w:r>
        <w:rPr>
          <w:rFonts w:ascii="宋体" w:hAnsi="宋体" w:cs="宋体"/>
          <w:color w:val="auto"/>
          <w:sz w:val="24"/>
          <w:szCs w:val="24"/>
          <w:highlight w:val="none"/>
        </w:rPr>
        <w:t>2.</w:t>
      </w:r>
      <w:r>
        <w:rPr>
          <w:rFonts w:hint="eastAsia" w:ascii="宋体" w:hAnsi="宋体" w:cs="宋体"/>
          <w:color w:val="auto"/>
          <w:sz w:val="24"/>
          <w:szCs w:val="24"/>
          <w:highlight w:val="none"/>
        </w:rPr>
        <w:t>乙方在以上情况发生后</w:t>
      </w:r>
      <w:r>
        <w:rPr>
          <w:rFonts w:ascii="宋体" w:hAnsi="宋体"/>
          <w:color w:val="auto"/>
          <w:sz w:val="24"/>
          <w:szCs w:val="24"/>
          <w:highlight w:val="none"/>
        </w:rPr>
        <w:t>24</w:t>
      </w:r>
      <w:r>
        <w:rPr>
          <w:rFonts w:hint="eastAsia" w:ascii="宋体" w:hAnsi="宋体" w:cs="宋体"/>
          <w:color w:val="auto"/>
          <w:sz w:val="24"/>
          <w:szCs w:val="24"/>
          <w:highlight w:val="none"/>
        </w:rPr>
        <w:t>小时内，就延误的内容向监理、甲方提出报告，监理、甲方在收到报告后</w:t>
      </w:r>
      <w:r>
        <w:rPr>
          <w:rFonts w:ascii="宋体" w:hAnsi="宋体"/>
          <w:color w:val="auto"/>
          <w:sz w:val="24"/>
          <w:szCs w:val="24"/>
          <w:highlight w:val="none"/>
        </w:rPr>
        <w:t>48</w:t>
      </w:r>
      <w:r>
        <w:rPr>
          <w:rFonts w:hint="eastAsia" w:ascii="宋体" w:hAnsi="宋体" w:cs="宋体"/>
          <w:color w:val="auto"/>
          <w:sz w:val="24"/>
          <w:szCs w:val="24"/>
          <w:highlight w:val="none"/>
        </w:rPr>
        <w:t>小时内予以答复，逾期不予答复，乙方即可视为延期要求己被确认。</w:t>
      </w:r>
    </w:p>
    <w:p w14:paraId="26F49867">
      <w:pPr>
        <w:spacing w:line="360" w:lineRule="auto"/>
        <w:ind w:left="315" w:leftChars="150" w:firstLine="120" w:firstLineChars="50"/>
        <w:rPr>
          <w:rFonts w:ascii="宋体" w:hAnsi="宋体" w:cs="宋体"/>
          <w:color w:val="auto"/>
          <w:sz w:val="24"/>
          <w:szCs w:val="24"/>
          <w:highlight w:val="none"/>
        </w:rPr>
      </w:pPr>
      <w:r>
        <w:rPr>
          <w:rFonts w:ascii="宋体" w:hAnsi="宋体" w:cs="宋体"/>
          <w:color w:val="auto"/>
          <w:sz w:val="24"/>
          <w:szCs w:val="24"/>
          <w:highlight w:val="none"/>
        </w:rPr>
        <w:t>3.</w:t>
      </w:r>
      <w:r>
        <w:rPr>
          <w:rFonts w:hint="eastAsia" w:ascii="宋体" w:hAnsi="宋体" w:cs="宋体"/>
          <w:color w:val="auto"/>
          <w:sz w:val="24"/>
          <w:szCs w:val="24"/>
          <w:highlight w:val="none"/>
        </w:rPr>
        <w:t>因乙方原因，造成工程不能按合同约定的工期完成，乙方承担违约责任。</w:t>
      </w:r>
    </w:p>
    <w:p w14:paraId="56036EFA">
      <w:pPr>
        <w:spacing w:line="360" w:lineRule="auto"/>
        <w:ind w:firstLine="480" w:firstLineChars="200"/>
        <w:rPr>
          <w:rFonts w:ascii="宋体" w:hAnsi="宋体"/>
          <w:color w:val="auto"/>
          <w:sz w:val="24"/>
          <w:szCs w:val="24"/>
          <w:highlight w:val="none"/>
        </w:rPr>
      </w:pPr>
      <w:r>
        <w:rPr>
          <w:rFonts w:ascii="宋体" w:hAnsi="宋体" w:cs="宋体"/>
          <w:color w:val="auto"/>
          <w:sz w:val="24"/>
          <w:szCs w:val="24"/>
          <w:highlight w:val="none"/>
        </w:rPr>
        <w:t>4.</w:t>
      </w:r>
      <w:r>
        <w:rPr>
          <w:rFonts w:hint="eastAsia" w:ascii="宋体" w:hAnsi="宋体" w:cs="宋体"/>
          <w:color w:val="auto"/>
          <w:sz w:val="24"/>
          <w:szCs w:val="24"/>
          <w:highlight w:val="none"/>
        </w:rPr>
        <w:t>由于乙方原因造成消防、安全、环保、职业卫生不能通过验收，将视为工程不合格，不予办理结算和支付工程结算款，由此造成的损失由乙方承担。</w:t>
      </w:r>
    </w:p>
    <w:p w14:paraId="69A72376">
      <w:pPr>
        <w:pStyle w:val="36"/>
        <w:spacing w:before="0" w:after="0" w:line="360" w:lineRule="auto"/>
        <w:ind w:right="24"/>
        <w:outlineLvl w:val="0"/>
        <w:rPr>
          <w:rFonts w:ascii="宋体" w:hAnsi="宋体"/>
          <w:b/>
          <w:bCs/>
          <w:color w:val="auto"/>
          <w:spacing w:val="6"/>
          <w:szCs w:val="24"/>
          <w:highlight w:val="none"/>
        </w:rPr>
      </w:pPr>
      <w:bookmarkStart w:id="408" w:name="_Toc72846729"/>
      <w:bookmarkStart w:id="409" w:name="_Toc72846880"/>
      <w:r>
        <w:rPr>
          <w:rFonts w:hint="eastAsia" w:ascii="宋体" w:hAnsi="宋体"/>
          <w:b/>
          <w:bCs/>
          <w:color w:val="auto"/>
          <w:spacing w:val="6"/>
          <w:szCs w:val="24"/>
          <w:highlight w:val="none"/>
        </w:rPr>
        <w:t>四、材料供应</w:t>
      </w:r>
      <w:bookmarkEnd w:id="408"/>
      <w:bookmarkEnd w:id="409"/>
    </w:p>
    <w:p w14:paraId="67D304A9">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13</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材料供应</w:t>
      </w:r>
    </w:p>
    <w:p w14:paraId="1A822EFB">
      <w:pPr>
        <w:spacing w:line="360" w:lineRule="auto"/>
        <w:ind w:firstLine="480" w:firstLineChars="200"/>
        <w:rPr>
          <w:rFonts w:ascii="宋体" w:hAnsi="宋体" w:cs="宋体"/>
          <w:color w:val="auto"/>
          <w:sz w:val="24"/>
          <w:szCs w:val="24"/>
          <w:highlight w:val="none"/>
        </w:rPr>
      </w:pPr>
      <w:r>
        <w:rPr>
          <w:rFonts w:ascii="宋体" w:hAnsi="宋体" w:cs="宋体"/>
          <w:color w:val="auto"/>
          <w:sz w:val="24"/>
          <w:szCs w:val="24"/>
          <w:highlight w:val="none"/>
        </w:rPr>
        <w:t>1.</w:t>
      </w:r>
      <w:r>
        <w:rPr>
          <w:rFonts w:hint="eastAsia" w:ascii="宋体" w:hAnsi="宋体" w:cs="宋体"/>
          <w:color w:val="auto"/>
          <w:sz w:val="24"/>
          <w:szCs w:val="24"/>
          <w:highlight w:val="none"/>
        </w:rPr>
        <w:t>本工程</w:t>
      </w:r>
      <w:r>
        <w:rPr>
          <w:rFonts w:hint="eastAsia" w:ascii="宋体" w:hAnsi="宋体" w:cs="宋体"/>
          <w:color w:val="auto"/>
          <w:sz w:val="24"/>
          <w:szCs w:val="24"/>
          <w:highlight w:val="none"/>
          <w:lang w:val="en-US" w:eastAsia="zh-CN"/>
        </w:rPr>
        <w:t>建设</w:t>
      </w:r>
      <w:r>
        <w:rPr>
          <w:rFonts w:hint="eastAsia" w:ascii="宋体" w:hAnsi="宋体" w:cs="宋体"/>
          <w:color w:val="auto"/>
          <w:sz w:val="24"/>
          <w:szCs w:val="24"/>
          <w:highlight w:val="none"/>
        </w:rPr>
        <w:t>与安装</w:t>
      </w:r>
      <w:r>
        <w:rPr>
          <w:rFonts w:ascii="宋体" w:hAnsi="宋体" w:cs="宋体"/>
          <w:color w:val="auto"/>
          <w:sz w:val="24"/>
          <w:szCs w:val="24"/>
          <w:highlight w:val="none"/>
        </w:rPr>
        <w:t>施工中</w:t>
      </w:r>
      <w:r>
        <w:rPr>
          <w:rFonts w:hint="eastAsia" w:ascii="宋体" w:hAnsi="宋体" w:cs="宋体"/>
          <w:color w:val="auto"/>
          <w:sz w:val="24"/>
          <w:szCs w:val="24"/>
          <w:highlight w:val="none"/>
        </w:rPr>
        <w:t>所需材料除约定由甲方提供的，其余的所有材料均由乙方自行采购。甲供材料由甲方负责运输至乙方地表材料堆场，乙方负责卸货和保管。</w:t>
      </w:r>
    </w:p>
    <w:p w14:paraId="2AE7D92E">
      <w:pPr>
        <w:spacing w:line="360" w:lineRule="auto"/>
        <w:ind w:firstLine="480" w:firstLineChars="200"/>
        <w:rPr>
          <w:rFonts w:hint="eastAsia" w:ascii="宋体" w:hAnsi="宋体" w:cs="宋体"/>
          <w:color w:val="auto"/>
          <w:sz w:val="24"/>
          <w:szCs w:val="24"/>
          <w:highlight w:val="none"/>
        </w:rPr>
      </w:pPr>
      <w:r>
        <w:rPr>
          <w:rFonts w:ascii="宋体" w:hAnsi="宋体" w:cs="宋体"/>
          <w:color w:val="auto"/>
          <w:sz w:val="24"/>
          <w:szCs w:val="24"/>
          <w:highlight w:val="none"/>
        </w:rPr>
        <w:t>2.</w:t>
      </w:r>
      <w:r>
        <w:rPr>
          <w:rFonts w:hint="eastAsia" w:ascii="宋体" w:hAnsi="宋体" w:cs="宋体"/>
          <w:color w:val="auto"/>
          <w:sz w:val="24"/>
          <w:szCs w:val="24"/>
          <w:highlight w:val="none"/>
        </w:rPr>
        <w:t>甲方供应材料设备的，应明确供应材料设备的品种、规格、型号、数量、单价、质量等级、提供时间和地点。</w:t>
      </w:r>
    </w:p>
    <w:p w14:paraId="24CD9AAC">
      <w:pPr>
        <w:widowControl/>
        <w:spacing w:line="360" w:lineRule="auto"/>
        <w:jc w:val="left"/>
        <w:rPr>
          <w:color w:val="auto"/>
          <w:kern w:val="0"/>
          <w:sz w:val="24"/>
          <w:szCs w:val="24"/>
          <w:highlight w:val="none"/>
        </w:rPr>
      </w:pPr>
      <w:r>
        <w:rPr>
          <w:rFonts w:hint="eastAsia"/>
          <w:color w:val="auto"/>
          <w:sz w:val="24"/>
          <w:szCs w:val="24"/>
          <w:highlight w:val="none"/>
        </w:rPr>
        <w:t xml:space="preserve">    </w:t>
      </w:r>
      <w:r>
        <w:rPr>
          <w:rFonts w:hint="eastAsia" w:ascii="宋体" w:hAnsi="宋体" w:cs="宋体"/>
          <w:color w:val="auto"/>
          <w:sz w:val="24"/>
          <w:szCs w:val="24"/>
          <w:highlight w:val="none"/>
        </w:rPr>
        <w:t>3.甲方供应的材料和设备，承包人清点并接收后由承包人妥善保管，保管费用由乙方承担，但专用合同条件另有约定除外。因乙方原因发生丢失毁损的，由乙方负责赔偿。</w:t>
      </w:r>
    </w:p>
    <w:p w14:paraId="14A55A93">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4</w:t>
      </w:r>
      <w:r>
        <w:rPr>
          <w:rFonts w:ascii="宋体" w:hAnsi="宋体" w:cs="宋体"/>
          <w:color w:val="auto"/>
          <w:sz w:val="24"/>
          <w:szCs w:val="24"/>
          <w:highlight w:val="none"/>
        </w:rPr>
        <w:t>.</w:t>
      </w:r>
      <w:r>
        <w:rPr>
          <w:rFonts w:hint="eastAsia" w:ascii="宋体" w:hAnsi="宋体" w:cs="宋体"/>
          <w:color w:val="auto"/>
          <w:sz w:val="24"/>
          <w:szCs w:val="24"/>
          <w:highlight w:val="none"/>
        </w:rPr>
        <w:t>乙方自行采购的材料，在使用前，应按规范及合同要求进行检验，并向甲方出具产品合格证，甲方有权对材料进行抽验，如符合质量要求的，抽检费用由甲方承担，否则由乙方承担，并把不合格材料清理出现场。</w:t>
      </w:r>
      <w:r>
        <w:rPr>
          <w:rFonts w:ascii="宋体" w:hAnsi="宋体"/>
          <w:color w:val="auto"/>
          <w:sz w:val="24"/>
          <w:szCs w:val="24"/>
          <w:highlight w:val="none"/>
        </w:rPr>
        <w:t xml:space="preserve"> </w:t>
      </w:r>
    </w:p>
    <w:p w14:paraId="020EFA3D">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ascii="宋体" w:hAnsi="宋体" w:cs="宋体"/>
          <w:color w:val="auto"/>
          <w:sz w:val="24"/>
          <w:szCs w:val="24"/>
          <w:highlight w:val="none"/>
        </w:rPr>
        <w:t>.</w:t>
      </w:r>
      <w:r>
        <w:rPr>
          <w:rFonts w:hint="eastAsia" w:ascii="宋体" w:hAnsi="宋体" w:cs="宋体"/>
          <w:color w:val="auto"/>
          <w:sz w:val="24"/>
          <w:szCs w:val="24"/>
          <w:highlight w:val="none"/>
        </w:rPr>
        <w:t>乙方采购材料设备的约定：</w:t>
      </w:r>
      <w:r>
        <w:rPr>
          <w:rFonts w:ascii="宋体" w:hAnsi="宋体" w:cs="宋体"/>
          <w:color w:val="auto"/>
          <w:sz w:val="24"/>
          <w:szCs w:val="24"/>
          <w:highlight w:val="none"/>
        </w:rPr>
        <w:t>材料必须提供产品合格证书及材质证明，特殊材料由</w:t>
      </w:r>
      <w:r>
        <w:rPr>
          <w:rFonts w:hint="eastAsia" w:ascii="宋体" w:hAnsi="宋体" w:cs="宋体"/>
          <w:color w:val="auto"/>
          <w:sz w:val="24"/>
          <w:szCs w:val="24"/>
          <w:highlight w:val="none"/>
        </w:rPr>
        <w:t>甲方</w:t>
      </w:r>
      <w:r>
        <w:rPr>
          <w:rFonts w:ascii="宋体" w:hAnsi="宋体" w:cs="宋体"/>
          <w:color w:val="auto"/>
          <w:sz w:val="24"/>
          <w:szCs w:val="24"/>
          <w:highlight w:val="none"/>
        </w:rPr>
        <w:t>、</w:t>
      </w:r>
      <w:r>
        <w:rPr>
          <w:rFonts w:hint="eastAsia" w:ascii="宋体" w:hAnsi="宋体" w:cs="宋体"/>
          <w:color w:val="auto"/>
          <w:sz w:val="24"/>
          <w:szCs w:val="24"/>
          <w:highlight w:val="none"/>
        </w:rPr>
        <w:t>乙方</w:t>
      </w:r>
      <w:r>
        <w:rPr>
          <w:rFonts w:ascii="宋体" w:hAnsi="宋体" w:cs="宋体"/>
          <w:color w:val="auto"/>
          <w:sz w:val="24"/>
          <w:szCs w:val="24"/>
          <w:highlight w:val="none"/>
        </w:rPr>
        <w:t>和监理方三方看样订货，所有材料均应经报检报验。</w:t>
      </w:r>
    </w:p>
    <w:p w14:paraId="3FD30738">
      <w:pPr>
        <w:widowControl/>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6.乙方使用不符合设计或有关标准要求的材料和工程设备时，有权要求乙方进行修复、拆除或重新采购，由此增加的费用和（或）延误的工期，由乙方承担。</w:t>
      </w:r>
    </w:p>
    <w:p w14:paraId="0D1AFCAD">
      <w:pPr>
        <w:pStyle w:val="36"/>
        <w:spacing w:before="0" w:after="0" w:line="360" w:lineRule="auto"/>
        <w:ind w:right="24"/>
        <w:outlineLvl w:val="0"/>
        <w:rPr>
          <w:rFonts w:ascii="宋体" w:hAnsi="宋体"/>
          <w:b/>
          <w:bCs/>
          <w:color w:val="auto"/>
          <w:spacing w:val="6"/>
          <w:szCs w:val="24"/>
          <w:highlight w:val="none"/>
        </w:rPr>
      </w:pPr>
      <w:bookmarkStart w:id="410" w:name="_Toc72846730"/>
      <w:bookmarkStart w:id="411" w:name="_Toc72846881"/>
      <w:r>
        <w:rPr>
          <w:rFonts w:hint="eastAsia" w:ascii="宋体" w:hAnsi="宋体"/>
          <w:b/>
          <w:bCs/>
          <w:color w:val="auto"/>
          <w:spacing w:val="6"/>
          <w:szCs w:val="24"/>
          <w:highlight w:val="none"/>
        </w:rPr>
        <w:t>五、质量与验收</w:t>
      </w:r>
      <w:bookmarkEnd w:id="410"/>
      <w:bookmarkEnd w:id="411"/>
    </w:p>
    <w:p w14:paraId="294F241C">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14</w:t>
      </w:r>
      <w:r>
        <w:rPr>
          <w:rFonts w:hint="eastAsia" w:ascii="宋体" w:hAnsi="宋体" w:cs="宋体"/>
          <w:b/>
          <w:bCs/>
          <w:color w:val="auto"/>
          <w:sz w:val="24"/>
          <w:szCs w:val="24"/>
          <w:highlight w:val="none"/>
        </w:rPr>
        <w:t>条　工程质量</w:t>
      </w:r>
    </w:p>
    <w:p w14:paraId="18DA3E65">
      <w:pPr>
        <w:spacing w:line="360" w:lineRule="auto"/>
        <w:ind w:firstLine="480" w:firstLineChars="200"/>
        <w:rPr>
          <w:rFonts w:ascii="宋体" w:hAnsi="宋体"/>
          <w:color w:val="auto"/>
          <w:sz w:val="24"/>
          <w:szCs w:val="24"/>
          <w:highlight w:val="none"/>
        </w:rPr>
      </w:pPr>
      <w:r>
        <w:rPr>
          <w:rFonts w:ascii="宋体" w:hAnsi="宋体"/>
          <w:bCs/>
          <w:color w:val="auto"/>
          <w:sz w:val="24"/>
          <w:szCs w:val="24"/>
          <w:highlight w:val="none"/>
        </w:rPr>
        <w:t>1.</w:t>
      </w:r>
      <w:r>
        <w:rPr>
          <w:rFonts w:hint="eastAsia" w:ascii="宋体" w:hAnsi="宋体" w:cs="宋体"/>
          <w:color w:val="auto"/>
          <w:sz w:val="24"/>
          <w:szCs w:val="24"/>
          <w:highlight w:val="none"/>
        </w:rPr>
        <w:t>乙方应按合同要求建立质量保证体系。在每一施工阶段开工前，均将所有工作程序执行文件提交甲方代表，按照合同要求的细节对质量保证措施加以说明。甲方代表有权审查和检查其中的任何方面，对不合格的项目，乙方应按甲方代表要求整改。</w:t>
      </w:r>
    </w:p>
    <w:p w14:paraId="399A8710">
      <w:pPr>
        <w:spacing w:line="360" w:lineRule="auto"/>
        <w:ind w:firstLine="480" w:firstLineChars="200"/>
        <w:rPr>
          <w:rFonts w:ascii="宋体" w:hAnsi="宋体"/>
          <w:color w:val="auto"/>
          <w:sz w:val="24"/>
          <w:szCs w:val="24"/>
          <w:highlight w:val="none"/>
        </w:rPr>
      </w:pPr>
      <w:r>
        <w:rPr>
          <w:rFonts w:ascii="宋体" w:hAnsi="宋体"/>
          <w:bCs/>
          <w:color w:val="auto"/>
          <w:sz w:val="24"/>
          <w:szCs w:val="24"/>
          <w:highlight w:val="none"/>
        </w:rPr>
        <w:t>2.</w:t>
      </w:r>
      <w:r>
        <w:rPr>
          <w:rFonts w:hint="eastAsia" w:ascii="宋体" w:hAnsi="宋体" w:cs="宋体"/>
          <w:bCs/>
          <w:color w:val="auto"/>
          <w:sz w:val="24"/>
          <w:szCs w:val="24"/>
          <w:highlight w:val="none"/>
        </w:rPr>
        <w:t>乙方</w:t>
      </w:r>
      <w:r>
        <w:rPr>
          <w:rFonts w:hint="eastAsia" w:ascii="宋体" w:hAnsi="宋体" w:cs="宋体"/>
          <w:color w:val="auto"/>
          <w:sz w:val="24"/>
          <w:szCs w:val="24"/>
          <w:highlight w:val="none"/>
        </w:rPr>
        <w:t>应充分理解合同、设计图纸中项目建设意图，按照设计图纸、施工规范要求保证工程质量。</w:t>
      </w:r>
    </w:p>
    <w:p w14:paraId="3A8C2E69">
      <w:pPr>
        <w:spacing w:line="360" w:lineRule="auto"/>
        <w:ind w:firstLine="480" w:firstLineChars="200"/>
        <w:rPr>
          <w:rFonts w:ascii="宋体" w:hAnsi="宋体"/>
          <w:color w:val="auto"/>
          <w:sz w:val="24"/>
          <w:szCs w:val="24"/>
          <w:highlight w:val="none"/>
        </w:rPr>
      </w:pPr>
      <w:r>
        <w:rPr>
          <w:rFonts w:ascii="宋体" w:hAnsi="宋体"/>
          <w:bCs/>
          <w:color w:val="auto"/>
          <w:sz w:val="24"/>
          <w:szCs w:val="24"/>
          <w:highlight w:val="none"/>
        </w:rPr>
        <w:t>3.</w:t>
      </w:r>
      <w:r>
        <w:rPr>
          <w:rFonts w:hint="eastAsia" w:ascii="宋体" w:hAnsi="宋体" w:cs="宋体"/>
          <w:bCs/>
          <w:color w:val="auto"/>
          <w:sz w:val="24"/>
          <w:szCs w:val="24"/>
          <w:highlight w:val="none"/>
        </w:rPr>
        <w:t>乙方</w:t>
      </w:r>
      <w:r>
        <w:rPr>
          <w:rFonts w:hint="eastAsia" w:ascii="宋体" w:hAnsi="宋体" w:cs="宋体"/>
          <w:color w:val="auto"/>
          <w:sz w:val="24"/>
          <w:szCs w:val="24"/>
          <w:highlight w:val="none"/>
        </w:rPr>
        <w:t>应承担其侵犯专利权行为造成甲方受到损害的责任。</w:t>
      </w:r>
    </w:p>
    <w:p w14:paraId="31AA1572">
      <w:pPr>
        <w:pStyle w:val="18"/>
        <w:spacing w:after="0" w:line="360" w:lineRule="auto"/>
        <w:ind w:firstLine="480" w:firstLineChars="200"/>
        <w:rPr>
          <w:rFonts w:ascii="宋体" w:hAnsi="宋体"/>
          <w:color w:val="auto"/>
          <w:sz w:val="24"/>
          <w:highlight w:val="none"/>
        </w:rPr>
      </w:pPr>
      <w:r>
        <w:rPr>
          <w:rFonts w:ascii="宋体" w:hAnsi="宋体"/>
          <w:bCs/>
          <w:color w:val="auto"/>
          <w:sz w:val="24"/>
          <w:highlight w:val="none"/>
        </w:rPr>
        <w:t>4.</w:t>
      </w:r>
      <w:r>
        <w:rPr>
          <w:rFonts w:hint="eastAsia" w:ascii="宋体" w:hAnsi="宋体" w:cs="宋体"/>
          <w:color w:val="auto"/>
          <w:sz w:val="24"/>
          <w:highlight w:val="none"/>
        </w:rPr>
        <w:t>工程质量应当达到协议约定的质量标准，质量标准的评定以国家或行业的质量检验评定标准为依据；如所约定的质量标准与国家或行业的质量检验评定标准相抵触时，遵循较为严格的标准。如因乙方原因造成工程质量达不到约定的质量标准，乙方承担违约责任。</w:t>
      </w:r>
    </w:p>
    <w:p w14:paraId="2AF14BD0">
      <w:pPr>
        <w:spacing w:line="360" w:lineRule="auto"/>
        <w:ind w:firstLine="360" w:firstLineChars="150"/>
        <w:rPr>
          <w:rFonts w:ascii="宋体" w:hAnsi="宋体"/>
          <w:color w:val="auto"/>
          <w:sz w:val="24"/>
          <w:szCs w:val="24"/>
          <w:highlight w:val="none"/>
        </w:rPr>
      </w:pPr>
      <w:r>
        <w:rPr>
          <w:rFonts w:ascii="宋体" w:hAnsi="宋体"/>
          <w:bCs/>
          <w:color w:val="auto"/>
          <w:sz w:val="24"/>
          <w:szCs w:val="24"/>
          <w:highlight w:val="none"/>
        </w:rPr>
        <w:t>5.</w:t>
      </w:r>
      <w:r>
        <w:rPr>
          <w:rFonts w:hint="eastAsia" w:ascii="宋体" w:hAnsi="宋体" w:cs="宋体"/>
          <w:color w:val="auto"/>
          <w:sz w:val="24"/>
          <w:szCs w:val="24"/>
          <w:highlight w:val="none"/>
        </w:rPr>
        <w:t>双方对工程质量有争议，由具备国家认定资质的当地部门进行鉴定，所需费用及因此造成的损失，由责任方承担。双方均有责任，由双方根据其责任比例分担。</w:t>
      </w:r>
    </w:p>
    <w:p w14:paraId="7FB2BD27">
      <w:pPr>
        <w:spacing w:line="360" w:lineRule="auto"/>
        <w:ind w:firstLine="361" w:firstLineChars="15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15</w:t>
      </w:r>
      <w:r>
        <w:rPr>
          <w:rFonts w:hint="eastAsia" w:ascii="宋体" w:hAnsi="宋体" w:cs="宋体"/>
          <w:b/>
          <w:bCs/>
          <w:color w:val="auto"/>
          <w:sz w:val="24"/>
          <w:szCs w:val="24"/>
          <w:highlight w:val="none"/>
        </w:rPr>
        <w:t xml:space="preserve">条 </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检查和返工</w:t>
      </w:r>
    </w:p>
    <w:p w14:paraId="09E73FC8">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乙方应认真按照标准、规范和设计的要求以及甲方依据合同发出的指令施工，随时接受甲方及其委派人员和监理人员的检查检验、为检查检验提供便利条件，并按甲方及委派人员的要求返工、修改，承担由自身原因导致返工、修改的费用。</w:t>
      </w:r>
    </w:p>
    <w:p w14:paraId="2977C917">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以上检查检验合格后，又发现由于乙方原因引起的质量问题，仍由乙方承担责任和发生的费用，工期不予顺延。</w:t>
      </w:r>
    </w:p>
    <w:p w14:paraId="1452A4F3">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国家规定的和行业规定的质量检查、检验科目必须强制检查和检验。</w:t>
      </w:r>
    </w:p>
    <w:p w14:paraId="17BDA5B5">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16</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隐蔽工程和中间验收、重新检验</w:t>
      </w:r>
    </w:p>
    <w:p w14:paraId="4CB2C300">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工程具备覆盖、掩盖条件或达到协议条款约定的中间验收部位，乙方自检合格后在隐蔽工程和中间验收</w:t>
      </w:r>
      <w:r>
        <w:rPr>
          <w:rFonts w:ascii="宋体" w:hAnsi="宋体"/>
          <w:color w:val="auto"/>
          <w:sz w:val="24"/>
          <w:szCs w:val="24"/>
          <w:highlight w:val="none"/>
        </w:rPr>
        <w:t>48</w:t>
      </w:r>
      <w:r>
        <w:rPr>
          <w:rFonts w:hint="eastAsia" w:ascii="宋体" w:hAnsi="宋体" w:cs="宋体"/>
          <w:color w:val="auto"/>
          <w:sz w:val="24"/>
          <w:szCs w:val="24"/>
          <w:highlight w:val="none"/>
        </w:rPr>
        <w:t>小时前通知甲方和甲方委托的监理人员进行验收。通知包括乙方自检记录、隐蔽和中间验收的内容、验收时间和地点。乙方准备验收记录。验收合格，甲方和监理人员在验收记录上签字后，方可进行隐蔽工程和继续施工。验收不合格，乙方在限定时间内修改重新申请验收，工期不予顺延。</w:t>
      </w:r>
    </w:p>
    <w:p w14:paraId="609631F4">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无论甲方或监理工程师是否进行验收，当其要求对已经隐蔽的工程重新检验时，乙方应按要求进行剥离或开孔，并在检验后重新覆盖或修复。检验合格，甲方承担由此发生的费用，并相应顺延由此影响的工期。检验不合格，乙方承担由此发生的费用，工期不顺延。</w:t>
      </w:r>
    </w:p>
    <w:p w14:paraId="6BC670F9">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1</w:t>
      </w:r>
      <w:r>
        <w:rPr>
          <w:rFonts w:ascii="宋体" w:hAnsi="宋体"/>
          <w:b/>
          <w:bCs/>
          <w:color w:val="auto"/>
          <w:sz w:val="24"/>
          <w:szCs w:val="24"/>
          <w:highlight w:val="none"/>
        </w:rPr>
        <w:t>7</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验收</w:t>
      </w:r>
    </w:p>
    <w:p w14:paraId="34622936">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甲方不能按时参加验收，须在开始验收</w:t>
      </w:r>
      <w:r>
        <w:rPr>
          <w:rFonts w:ascii="宋体" w:hAnsi="宋体"/>
          <w:color w:val="auto"/>
          <w:sz w:val="24"/>
          <w:szCs w:val="24"/>
          <w:highlight w:val="none"/>
        </w:rPr>
        <w:t>72</w:t>
      </w:r>
      <w:r>
        <w:rPr>
          <w:rFonts w:hint="eastAsia" w:ascii="宋体" w:hAnsi="宋体" w:cs="宋体"/>
          <w:color w:val="auto"/>
          <w:sz w:val="24"/>
          <w:szCs w:val="24"/>
          <w:highlight w:val="none"/>
        </w:rPr>
        <w:t>小时之前向乙方提出延期要求，延期不能超过三天，工期相应顺延。甲方未能按以上时间提出延期要求，不参加验收，乙方可自行组织验收，甲方应承认验收记录。</w:t>
      </w:r>
    </w:p>
    <w:p w14:paraId="29724F0D">
      <w:pPr>
        <w:pStyle w:val="36"/>
        <w:spacing w:before="0" w:after="0" w:line="360" w:lineRule="auto"/>
        <w:ind w:right="24"/>
        <w:outlineLvl w:val="0"/>
        <w:rPr>
          <w:rFonts w:ascii="宋体" w:hAnsi="宋体"/>
          <w:b/>
          <w:bCs/>
          <w:color w:val="auto"/>
          <w:spacing w:val="6"/>
          <w:szCs w:val="24"/>
          <w:highlight w:val="none"/>
        </w:rPr>
      </w:pPr>
      <w:bookmarkStart w:id="412" w:name="_Toc72846882"/>
      <w:bookmarkStart w:id="413" w:name="_Toc72846731"/>
      <w:r>
        <w:rPr>
          <w:rFonts w:hint="eastAsia" w:ascii="宋体" w:hAnsi="宋体"/>
          <w:b/>
          <w:bCs/>
          <w:color w:val="auto"/>
          <w:spacing w:val="6"/>
          <w:szCs w:val="24"/>
          <w:highlight w:val="none"/>
        </w:rPr>
        <w:t>六、合同价款支付及调整</w:t>
      </w:r>
      <w:bookmarkEnd w:id="412"/>
      <w:bookmarkEnd w:id="413"/>
    </w:p>
    <w:p w14:paraId="7867FBB8">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1</w:t>
      </w:r>
      <w:r>
        <w:rPr>
          <w:rFonts w:ascii="宋体" w:hAnsi="宋体"/>
          <w:b/>
          <w:bCs/>
          <w:color w:val="auto"/>
          <w:sz w:val="24"/>
          <w:szCs w:val="24"/>
          <w:highlight w:val="none"/>
        </w:rPr>
        <w:t>8</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合同价款支付</w:t>
      </w:r>
    </w:p>
    <w:p w14:paraId="1D707F01">
      <w:pPr>
        <w:spacing w:line="360" w:lineRule="auto"/>
        <w:ind w:firstLine="480" w:firstLineChars="200"/>
        <w:rPr>
          <w:rFonts w:ascii="宋体" w:hAnsi="宋体"/>
          <w:b/>
          <w:bCs/>
          <w:color w:val="auto"/>
          <w:sz w:val="24"/>
          <w:szCs w:val="24"/>
          <w:highlight w:val="none"/>
        </w:rPr>
      </w:pPr>
      <w:r>
        <w:rPr>
          <w:rFonts w:hint="eastAsia" w:ascii="宋体" w:hAnsi="宋体" w:cs="宋体"/>
          <w:color w:val="auto"/>
          <w:sz w:val="24"/>
          <w:szCs w:val="24"/>
          <w:highlight w:val="none"/>
        </w:rPr>
        <w:t>见专用条款</w:t>
      </w:r>
      <w:r>
        <w:rPr>
          <w:rFonts w:ascii="宋体" w:hAnsi="宋体" w:cs="宋体"/>
          <w:b/>
          <w:bCs/>
          <w:color w:val="auto"/>
          <w:sz w:val="24"/>
          <w:szCs w:val="24"/>
          <w:highlight w:val="none"/>
        </w:rPr>
        <w:t>。</w:t>
      </w:r>
    </w:p>
    <w:p w14:paraId="00D5AE0C">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1</w:t>
      </w:r>
      <w:r>
        <w:rPr>
          <w:rFonts w:ascii="宋体" w:hAnsi="宋体"/>
          <w:b/>
          <w:bCs/>
          <w:color w:val="auto"/>
          <w:sz w:val="24"/>
          <w:szCs w:val="24"/>
          <w:highlight w:val="none"/>
        </w:rPr>
        <w:t>9</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工程变更及合同价款调整</w:t>
      </w:r>
    </w:p>
    <w:p w14:paraId="2776D408">
      <w:pPr>
        <w:spacing w:line="360" w:lineRule="auto"/>
        <w:ind w:firstLine="480" w:firstLineChars="200"/>
        <w:rPr>
          <w:rFonts w:ascii="宋体" w:hAnsi="宋体"/>
          <w:bCs/>
          <w:color w:val="auto"/>
          <w:sz w:val="24"/>
          <w:szCs w:val="24"/>
          <w:highlight w:val="none"/>
        </w:rPr>
      </w:pPr>
      <w:r>
        <w:rPr>
          <w:rFonts w:ascii="宋体" w:hAnsi="宋体" w:cs="宋体"/>
          <w:bCs/>
          <w:color w:val="auto"/>
          <w:sz w:val="24"/>
          <w:szCs w:val="24"/>
          <w:highlight w:val="none"/>
        </w:rPr>
        <w:t>1.</w:t>
      </w:r>
      <w:r>
        <w:rPr>
          <w:rFonts w:hint="eastAsia" w:ascii="宋体" w:hAnsi="宋体" w:cs="宋体"/>
          <w:bCs/>
          <w:color w:val="auto"/>
          <w:sz w:val="24"/>
          <w:szCs w:val="24"/>
          <w:highlight w:val="none"/>
        </w:rPr>
        <w:t>工程设计变更</w:t>
      </w:r>
    </w:p>
    <w:p w14:paraId="67624917">
      <w:pPr>
        <w:spacing w:line="360" w:lineRule="auto"/>
        <w:ind w:firstLine="480" w:firstLineChars="200"/>
        <w:rPr>
          <w:rFonts w:ascii="宋体" w:hAnsi="宋体"/>
          <w:color w:val="auto"/>
          <w:sz w:val="24"/>
          <w:szCs w:val="24"/>
          <w:highlight w:val="none"/>
        </w:rPr>
      </w:pPr>
      <w:r>
        <w:rPr>
          <w:rFonts w:ascii="宋体" w:hAnsi="宋体" w:cs="宋体"/>
          <w:color w:val="auto"/>
          <w:sz w:val="24"/>
          <w:szCs w:val="24"/>
          <w:highlight w:val="none"/>
        </w:rPr>
        <w:t>1.1</w:t>
      </w:r>
      <w:r>
        <w:rPr>
          <w:rFonts w:hint="eastAsia" w:ascii="宋体" w:hAnsi="宋体" w:cs="宋体"/>
          <w:color w:val="auto"/>
          <w:sz w:val="24"/>
          <w:szCs w:val="24"/>
          <w:highlight w:val="none"/>
        </w:rPr>
        <w:t>在施工过程中，如因设计优化需要，在保证工程质量不降低的前提下，乙方需将方案以书面形式提交甲方，经设计、甲方、监理确认之后实施。</w:t>
      </w:r>
    </w:p>
    <w:p w14:paraId="1981F866">
      <w:pPr>
        <w:spacing w:line="360" w:lineRule="auto"/>
        <w:ind w:firstLine="480" w:firstLineChars="200"/>
        <w:rPr>
          <w:rFonts w:ascii="宋体" w:hAnsi="宋体" w:cs="宋体"/>
          <w:color w:val="auto"/>
          <w:sz w:val="24"/>
          <w:szCs w:val="24"/>
          <w:highlight w:val="none"/>
        </w:rPr>
      </w:pPr>
      <w:r>
        <w:rPr>
          <w:rFonts w:ascii="宋体" w:hAnsi="宋体" w:cs="宋体"/>
          <w:color w:val="auto"/>
          <w:sz w:val="24"/>
          <w:szCs w:val="24"/>
          <w:highlight w:val="none"/>
        </w:rPr>
        <w:t>1.2</w:t>
      </w:r>
      <w:r>
        <w:rPr>
          <w:rFonts w:hint="eastAsia" w:ascii="宋体" w:hAnsi="宋体" w:cs="宋体"/>
          <w:color w:val="auto"/>
          <w:sz w:val="24"/>
          <w:szCs w:val="24"/>
          <w:highlight w:val="none"/>
        </w:rPr>
        <w:t>工程实施过程中，乙方不得对已经甲方确认的施工图设计擅自进行变更。因乙方擅自变更设计发生的费用和由此导致甲方直接损失，由乙方承担。</w:t>
      </w:r>
    </w:p>
    <w:p w14:paraId="79EC60DB">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1.3</w:t>
      </w:r>
      <w:r>
        <w:rPr>
          <w:rFonts w:hint="eastAsia" w:ascii="宋体" w:hAnsi="宋体"/>
          <w:color w:val="auto"/>
          <w:sz w:val="24"/>
          <w:szCs w:val="24"/>
          <w:highlight w:val="none"/>
        </w:rPr>
        <w:t>设计变更项目以设计院出具并经甲方、监理方确认的设计变更通知书为准。其它变更项目以甲方、乙方、监理方现场共同签证为准。</w:t>
      </w:r>
    </w:p>
    <w:p w14:paraId="51414A9B">
      <w:pPr>
        <w:spacing w:line="360" w:lineRule="auto"/>
        <w:ind w:firstLine="480" w:firstLineChars="200"/>
        <w:rPr>
          <w:rFonts w:ascii="宋体" w:hAnsi="宋体" w:cs="宋体"/>
          <w:color w:val="auto"/>
          <w:sz w:val="24"/>
          <w:szCs w:val="24"/>
          <w:highlight w:val="none"/>
        </w:rPr>
      </w:pPr>
      <w:r>
        <w:rPr>
          <w:rFonts w:ascii="宋体" w:hAnsi="宋体" w:cs="宋体"/>
          <w:bCs/>
          <w:color w:val="auto"/>
          <w:sz w:val="24"/>
          <w:szCs w:val="24"/>
          <w:highlight w:val="none"/>
        </w:rPr>
        <w:t>2.</w:t>
      </w:r>
      <w:r>
        <w:rPr>
          <w:rFonts w:hint="eastAsia" w:ascii="宋体" w:hAnsi="宋体" w:cs="宋体"/>
          <w:color w:val="auto"/>
          <w:sz w:val="24"/>
          <w:szCs w:val="24"/>
          <w:highlight w:val="none"/>
        </w:rPr>
        <w:t xml:space="preserve">合同履行期间，因设计基础条件变化造成，非乙方原因导致施工图设计不能按确定的基础进行，甲方要求乙方变更工程质量标准或内容导致工期影响，延长合同工期。 </w:t>
      </w:r>
    </w:p>
    <w:p w14:paraId="39834B1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w:t>
      </w:r>
      <w:r>
        <w:rPr>
          <w:rFonts w:ascii="宋体" w:hAnsi="宋体"/>
          <w:color w:val="auto"/>
          <w:sz w:val="24"/>
          <w:szCs w:val="24"/>
          <w:highlight w:val="none"/>
        </w:rPr>
        <w:t>.</w:t>
      </w:r>
      <w:r>
        <w:rPr>
          <w:rFonts w:hint="eastAsia" w:ascii="宋体" w:hAnsi="宋体" w:cs="宋体"/>
          <w:color w:val="auto"/>
          <w:sz w:val="24"/>
          <w:szCs w:val="24"/>
          <w:highlight w:val="none"/>
        </w:rPr>
        <w:t>乙方在工程变更确定后</w:t>
      </w:r>
      <w:r>
        <w:rPr>
          <w:rFonts w:ascii="宋体" w:hAnsi="宋体" w:cs="宋体"/>
          <w:color w:val="auto"/>
          <w:sz w:val="24"/>
          <w:szCs w:val="24"/>
          <w:highlight w:val="none"/>
        </w:rPr>
        <w:t>28</w:t>
      </w:r>
      <w:r>
        <w:rPr>
          <w:rFonts w:hint="eastAsia" w:ascii="宋体" w:hAnsi="宋体" w:cs="宋体"/>
          <w:color w:val="auto"/>
          <w:sz w:val="24"/>
          <w:szCs w:val="24"/>
          <w:highlight w:val="none"/>
        </w:rPr>
        <w:t>日内，提出工期变更的报告，经甲方确认之后调整。乙方在双方确定变更后</w:t>
      </w:r>
      <w:r>
        <w:rPr>
          <w:rFonts w:ascii="宋体" w:hAnsi="宋体" w:cs="宋体"/>
          <w:color w:val="auto"/>
          <w:sz w:val="24"/>
          <w:szCs w:val="24"/>
          <w:highlight w:val="none"/>
        </w:rPr>
        <w:t>28</w:t>
      </w:r>
      <w:r>
        <w:rPr>
          <w:rFonts w:hint="eastAsia" w:ascii="宋体" w:hAnsi="宋体" w:cs="宋体"/>
          <w:color w:val="auto"/>
          <w:sz w:val="24"/>
          <w:szCs w:val="24"/>
          <w:highlight w:val="none"/>
        </w:rPr>
        <w:t>天外向甲方提出工期变更的报告，视为该项变更不涉及工期变更。</w:t>
      </w:r>
    </w:p>
    <w:p w14:paraId="67A3B92C">
      <w:pPr>
        <w:spacing w:line="360" w:lineRule="auto"/>
        <w:ind w:left="210" w:leftChars="100" w:firstLine="120" w:firstLineChars="50"/>
        <w:rPr>
          <w:rFonts w:ascii="宋体" w:hAnsi="宋体"/>
          <w:color w:val="auto"/>
          <w:sz w:val="24"/>
          <w:szCs w:val="24"/>
          <w:highlight w:val="none"/>
        </w:rPr>
      </w:pPr>
      <w:r>
        <w:rPr>
          <w:rFonts w:hint="eastAsia" w:ascii="宋体" w:hAnsi="宋体"/>
          <w:color w:val="auto"/>
          <w:sz w:val="24"/>
          <w:szCs w:val="24"/>
          <w:highlight w:val="none"/>
        </w:rPr>
        <w:t>4.工程变更的合同价款调整</w:t>
      </w:r>
    </w:p>
    <w:p w14:paraId="40C20A3E">
      <w:pPr>
        <w:spacing w:line="360" w:lineRule="auto"/>
        <w:ind w:left="599" w:leftChars="171" w:hanging="240" w:hangingChars="100"/>
        <w:rPr>
          <w:rFonts w:ascii="宋体" w:hAnsi="宋体"/>
          <w:color w:val="auto"/>
          <w:sz w:val="24"/>
          <w:szCs w:val="24"/>
          <w:highlight w:val="none"/>
        </w:rPr>
      </w:pPr>
      <w:r>
        <w:rPr>
          <w:rFonts w:hint="eastAsia" w:ascii="宋体" w:hAnsi="宋体" w:cs="宋体"/>
          <w:color w:val="auto"/>
          <w:sz w:val="24"/>
          <w:szCs w:val="24"/>
          <w:highlight w:val="none"/>
        </w:rPr>
        <w:t>4.1见专用条款</w:t>
      </w:r>
      <w:r>
        <w:rPr>
          <w:rFonts w:ascii="宋体" w:hAnsi="宋体"/>
          <w:color w:val="auto"/>
          <w:sz w:val="24"/>
          <w:szCs w:val="24"/>
          <w:highlight w:val="none"/>
        </w:rPr>
        <w:t>。</w:t>
      </w:r>
    </w:p>
    <w:p w14:paraId="24C986D6">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20</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工程进度报表中工程量的核实确认</w:t>
      </w:r>
    </w:p>
    <w:p w14:paraId="50F0BA2E">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乙方向甲方提交乙方根据合同相关条款编制的工程工作费用，作为双方核实和确认工程量时的依据。</w:t>
      </w:r>
      <w:r>
        <w:rPr>
          <w:rFonts w:ascii="宋体" w:hAnsi="宋体"/>
          <w:color w:val="auto"/>
          <w:sz w:val="24"/>
          <w:szCs w:val="24"/>
          <w:highlight w:val="none"/>
        </w:rPr>
        <w:t xml:space="preserve"> </w:t>
      </w:r>
    </w:p>
    <w:p w14:paraId="7C5FA809">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工程进度报表，应按招投标文件中要求进行分项编报。</w:t>
      </w:r>
    </w:p>
    <w:p w14:paraId="7998C09D">
      <w:pPr>
        <w:spacing w:line="360" w:lineRule="auto"/>
        <w:rPr>
          <w:rFonts w:ascii="宋体" w:hAnsi="宋体"/>
          <w:color w:val="auto"/>
          <w:sz w:val="24"/>
          <w:szCs w:val="24"/>
          <w:highlight w:val="none"/>
        </w:rPr>
      </w:pPr>
      <w:r>
        <w:rPr>
          <w:rFonts w:ascii="宋体" w:hAnsi="宋体"/>
          <w:color w:val="auto"/>
          <w:sz w:val="24"/>
          <w:szCs w:val="24"/>
          <w:highlight w:val="none"/>
        </w:rPr>
        <w:t xml:space="preserve">    </w:t>
      </w:r>
      <w:r>
        <w:rPr>
          <w:rFonts w:hint="eastAsia" w:ascii="宋体" w:hAnsi="宋体" w:cs="宋体"/>
          <w:color w:val="auto"/>
          <w:sz w:val="24"/>
          <w:szCs w:val="24"/>
          <w:highlight w:val="none"/>
        </w:rPr>
        <w:t>甲方发现工程施工与施工图不符时，有权要求乙方在</w:t>
      </w:r>
      <w:r>
        <w:rPr>
          <w:rFonts w:ascii="宋体" w:hAnsi="宋体"/>
          <w:color w:val="auto"/>
          <w:sz w:val="24"/>
          <w:szCs w:val="24"/>
          <w:highlight w:val="none"/>
        </w:rPr>
        <w:t>48</w:t>
      </w:r>
      <w:r>
        <w:rPr>
          <w:rFonts w:hint="eastAsia" w:ascii="宋体" w:hAnsi="宋体" w:cs="宋体"/>
          <w:color w:val="auto"/>
          <w:sz w:val="24"/>
          <w:szCs w:val="24"/>
          <w:highlight w:val="none"/>
        </w:rPr>
        <w:t>小时内进行整改，因此造成的一切费用和责任由乙方承担，工期不予顺延。</w:t>
      </w:r>
    </w:p>
    <w:p w14:paraId="1F48DF15">
      <w:pPr>
        <w:pStyle w:val="36"/>
        <w:spacing w:before="0" w:after="0" w:line="360" w:lineRule="auto"/>
        <w:ind w:right="24"/>
        <w:outlineLvl w:val="0"/>
        <w:rPr>
          <w:rFonts w:ascii="宋体" w:hAnsi="宋体"/>
          <w:b/>
          <w:bCs/>
          <w:color w:val="auto"/>
          <w:spacing w:val="6"/>
          <w:szCs w:val="24"/>
          <w:highlight w:val="none"/>
        </w:rPr>
      </w:pPr>
      <w:bookmarkStart w:id="414" w:name="_Toc72846732"/>
      <w:bookmarkStart w:id="415" w:name="_Toc72846883"/>
      <w:r>
        <w:rPr>
          <w:rFonts w:hint="eastAsia" w:ascii="宋体" w:hAnsi="宋体"/>
          <w:b/>
          <w:bCs/>
          <w:color w:val="auto"/>
          <w:spacing w:val="6"/>
          <w:szCs w:val="24"/>
          <w:highlight w:val="none"/>
        </w:rPr>
        <w:t>七、工程交付使用与结算</w:t>
      </w:r>
      <w:bookmarkEnd w:id="414"/>
      <w:bookmarkEnd w:id="415"/>
    </w:p>
    <w:p w14:paraId="61DDA124">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21</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工程交付使用</w:t>
      </w:r>
    </w:p>
    <w:p w14:paraId="7E8CCAAF">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工程施工完成，在具备交付使用条件的情况下，由甲方负责组织验收，验收合格，参加人员在验收报告或记录上签字。</w:t>
      </w:r>
    </w:p>
    <w:p w14:paraId="1FA8D033">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乙方按国家工程交付使用的有关规定，向甲方提供完整竣工资料一式三份（含电子版光盘或U盘一式三份）和工程交验报告。甲方收到工程交验报告和竣工验收资料后，协助乙方组织有关部门验收，并在验收后</w:t>
      </w:r>
      <w:r>
        <w:rPr>
          <w:rFonts w:ascii="宋体" w:hAnsi="宋体"/>
          <w:color w:val="auto"/>
          <w:sz w:val="24"/>
          <w:szCs w:val="24"/>
          <w:highlight w:val="none"/>
        </w:rPr>
        <w:t>14</w:t>
      </w:r>
      <w:r>
        <w:rPr>
          <w:rFonts w:hint="eastAsia" w:ascii="宋体" w:hAnsi="宋体" w:cs="宋体"/>
          <w:color w:val="auto"/>
          <w:sz w:val="24"/>
          <w:szCs w:val="24"/>
          <w:highlight w:val="none"/>
        </w:rPr>
        <w:t>天内给予批准或提出修改意见。乙方按要求修改，并承担由自身原因造成修改的费用。</w:t>
      </w:r>
    </w:p>
    <w:p w14:paraId="74E181AC">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22</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竣工结算</w:t>
      </w:r>
    </w:p>
    <w:p w14:paraId="6019C22F">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乙方应按国家有关规定、按约定的时间、方式向甲方提交结算报告一式四份，办理竣工结算。甲方收到结算报告组织办理结算，按合同约定支付工程款。</w:t>
      </w:r>
    </w:p>
    <w:p w14:paraId="65145E9E">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乙方未向甲方递交竣工结算报告及完整的签署意见的结算资料，工程竣工结算不能正常进行，甲方有权不支付工程款项。</w:t>
      </w:r>
    </w:p>
    <w:p w14:paraId="35B51341">
      <w:pPr>
        <w:spacing w:line="360" w:lineRule="auto"/>
        <w:ind w:firstLine="480" w:firstLineChars="200"/>
        <w:rPr>
          <w:rFonts w:ascii="宋体" w:hAnsi="宋体" w:cs="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实物工程量清单、固定资产移交清册是竣工资料的一部分，乙方应按照材料、设备、施工费和其他费用等发生额，真实完整地遵循竣工财务决算的要求编制固定资产移交清册。工程结算审计完成，乙方未向甲方递交实物工程量清单、固定资产移交清册，甲方有权不支付工程款项。</w:t>
      </w:r>
    </w:p>
    <w:p w14:paraId="4270083B">
      <w:pPr>
        <w:spacing w:line="360" w:lineRule="auto"/>
        <w:ind w:left="105" w:leftChars="50" w:firstLine="360" w:firstLineChars="150"/>
        <w:rPr>
          <w:rFonts w:ascii="宋体" w:hAnsi="宋体"/>
          <w:color w:val="auto"/>
          <w:sz w:val="24"/>
          <w:szCs w:val="24"/>
          <w:highlight w:val="none"/>
        </w:rPr>
      </w:pPr>
      <w:r>
        <w:rPr>
          <w:rFonts w:hint="eastAsia" w:ascii="宋体" w:hAnsi="宋体" w:cs="宋体"/>
          <w:color w:val="auto"/>
          <w:sz w:val="24"/>
          <w:szCs w:val="24"/>
          <w:highlight w:val="none"/>
        </w:rPr>
        <w:t>4.本工程所有的竣工资料乙方必须在性能考核合格后两个月内提交甲方。</w:t>
      </w:r>
    </w:p>
    <w:p w14:paraId="6D9CD534">
      <w:pPr>
        <w:pStyle w:val="36"/>
        <w:spacing w:before="0" w:after="0" w:line="360" w:lineRule="auto"/>
        <w:ind w:right="24"/>
        <w:outlineLvl w:val="0"/>
        <w:rPr>
          <w:rFonts w:ascii="宋体" w:hAnsi="宋体"/>
          <w:b/>
          <w:bCs/>
          <w:color w:val="auto"/>
          <w:spacing w:val="6"/>
          <w:szCs w:val="24"/>
          <w:highlight w:val="none"/>
        </w:rPr>
      </w:pPr>
      <w:bookmarkStart w:id="416" w:name="_Toc72846884"/>
      <w:bookmarkStart w:id="417" w:name="_Toc72846733"/>
      <w:r>
        <w:rPr>
          <w:rFonts w:hint="eastAsia" w:ascii="宋体" w:hAnsi="宋体"/>
          <w:b/>
          <w:bCs/>
          <w:color w:val="auto"/>
          <w:spacing w:val="6"/>
          <w:szCs w:val="24"/>
          <w:highlight w:val="none"/>
        </w:rPr>
        <w:t>八、争议、违约和索赔</w:t>
      </w:r>
      <w:bookmarkEnd w:id="416"/>
      <w:bookmarkEnd w:id="417"/>
    </w:p>
    <w:p w14:paraId="0E8C86D4">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w:t>
      </w:r>
      <w:r>
        <w:rPr>
          <w:rFonts w:ascii="宋体" w:hAnsi="宋体"/>
          <w:b/>
          <w:bCs/>
          <w:color w:val="auto"/>
          <w:sz w:val="24"/>
          <w:szCs w:val="24"/>
          <w:highlight w:val="none"/>
        </w:rPr>
        <w:t>3</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争议</w:t>
      </w:r>
    </w:p>
    <w:p w14:paraId="08BA266C">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甲、乙双方因合同发生争议，由双方友好协商解决；协商不成时，双方均同意提交工程所在地有管辖权的人民法院裁决。</w:t>
      </w:r>
    </w:p>
    <w:p w14:paraId="64349B8E">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发生争议后，除出现下列情况外，双方都应继续履行合同，保证施工连续，保护好完工工程。</w:t>
      </w:r>
    </w:p>
    <w:p w14:paraId="17B77B64">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.单方违约导致合同确已无法履行；</w:t>
      </w:r>
    </w:p>
    <w:p w14:paraId="2F57F55E">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.双方协商同意停止施工；</w:t>
      </w:r>
    </w:p>
    <w:p w14:paraId="2F0F7216">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.法院要求停止施工。</w:t>
      </w:r>
    </w:p>
    <w:p w14:paraId="5565228E">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w:t>
      </w:r>
      <w:r>
        <w:rPr>
          <w:rFonts w:ascii="宋体" w:hAnsi="宋体"/>
          <w:b/>
          <w:bCs/>
          <w:color w:val="auto"/>
          <w:sz w:val="24"/>
          <w:szCs w:val="24"/>
          <w:highlight w:val="none"/>
        </w:rPr>
        <w:t>4</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违约</w:t>
      </w:r>
    </w:p>
    <w:p w14:paraId="4CC01575">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甲方不按合同约定履行自己的各项义务使合同无法履行的行为，应承担违约责任，工期相应顺延，赔偿因违约给乙方造成的损失。</w:t>
      </w:r>
    </w:p>
    <w:p w14:paraId="551D47A8">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乙方不能按合同工期完成，施工质量达不到本合同规定的要求，或发生其它使合同无法履行的行为，甲方可通知乙方，按合同条款约定支付违约金，赔偿因违约给甲方造成的损失。</w:t>
      </w:r>
    </w:p>
    <w:p w14:paraId="57EAC22C">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除非双方协议将合同终止，或因一方违约使合同无法履行，违约方承担上述违约责任后仍应继续履行合同。</w:t>
      </w:r>
    </w:p>
    <w:p w14:paraId="4844F6EC">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s="宋体"/>
          <w:color w:val="auto"/>
          <w:sz w:val="24"/>
          <w:szCs w:val="24"/>
          <w:highlight w:val="none"/>
        </w:rPr>
        <w:t>因一方违约使合同不能履行，另一方欲中止或解除全部合同，应提前</w:t>
      </w:r>
      <w:r>
        <w:rPr>
          <w:rFonts w:ascii="宋体" w:hAnsi="宋体"/>
          <w:color w:val="auto"/>
          <w:sz w:val="24"/>
          <w:szCs w:val="24"/>
          <w:highlight w:val="none"/>
        </w:rPr>
        <w:t>10</w:t>
      </w:r>
      <w:r>
        <w:rPr>
          <w:rFonts w:hint="eastAsia" w:ascii="宋体" w:hAnsi="宋体" w:cs="宋体"/>
          <w:color w:val="auto"/>
          <w:sz w:val="24"/>
          <w:szCs w:val="24"/>
          <w:highlight w:val="none"/>
        </w:rPr>
        <w:t>天通知违约方后，双方同意后可中止或解除合同，由违约方承担违约责任。</w:t>
      </w:r>
    </w:p>
    <w:p w14:paraId="35DB9D24">
      <w:pPr>
        <w:spacing w:line="360" w:lineRule="auto"/>
        <w:ind w:left="482" w:hanging="482" w:hangingChars="200"/>
        <w:rPr>
          <w:rFonts w:ascii="宋体" w:hAnsi="宋体"/>
          <w:color w:val="auto"/>
          <w:sz w:val="24"/>
          <w:szCs w:val="24"/>
          <w:highlight w:val="none"/>
        </w:rPr>
      </w:pP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w:t>
      </w:r>
      <w:r>
        <w:rPr>
          <w:rFonts w:ascii="宋体" w:hAnsi="宋体"/>
          <w:b/>
          <w:bCs/>
          <w:color w:val="auto"/>
          <w:sz w:val="24"/>
          <w:szCs w:val="24"/>
          <w:highlight w:val="none"/>
        </w:rPr>
        <w:t>5</w:t>
      </w:r>
      <w:r>
        <w:rPr>
          <w:rFonts w:hint="eastAsia" w:ascii="宋体" w:hAnsi="宋体" w:cs="宋体"/>
          <w:b/>
          <w:bCs/>
          <w:color w:val="auto"/>
          <w:sz w:val="24"/>
          <w:szCs w:val="24"/>
          <w:highlight w:val="none"/>
        </w:rPr>
        <w:t xml:space="preserve">条 </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索赔</w:t>
      </w:r>
    </w:p>
    <w:p w14:paraId="3B626FBF">
      <w:pPr>
        <w:spacing w:line="360" w:lineRule="auto"/>
        <w:ind w:firstLine="480"/>
        <w:rPr>
          <w:rFonts w:ascii="宋体" w:hAnsi="宋体"/>
          <w:color w:val="auto"/>
          <w:sz w:val="24"/>
          <w:szCs w:val="24"/>
          <w:highlight w:val="none"/>
        </w:rPr>
      </w:pPr>
      <w:r>
        <w:rPr>
          <w:rFonts w:hint="eastAsia" w:ascii="宋体" w:hAnsi="宋体" w:cs="宋体"/>
          <w:color w:val="auto"/>
          <w:sz w:val="24"/>
          <w:szCs w:val="24"/>
          <w:highlight w:val="none"/>
        </w:rPr>
        <w:t>当一方向另一方提出索赔时，要有正常索赔理由，且有索赔事件发生时的有效证据。</w:t>
      </w:r>
      <w:r>
        <w:rPr>
          <w:rFonts w:ascii="宋体" w:hAnsi="宋体"/>
          <w:color w:val="auto"/>
          <w:sz w:val="24"/>
          <w:szCs w:val="24"/>
          <w:highlight w:val="none"/>
        </w:rPr>
        <w:t xml:space="preserve">   </w:t>
      </w:r>
    </w:p>
    <w:p w14:paraId="11810494">
      <w:pPr>
        <w:spacing w:line="360" w:lineRule="auto"/>
        <w:ind w:firstLine="480"/>
        <w:rPr>
          <w:rFonts w:ascii="宋体" w:hAnsi="宋体"/>
          <w:color w:val="auto"/>
          <w:sz w:val="24"/>
          <w:szCs w:val="24"/>
          <w:highlight w:val="none"/>
        </w:rPr>
      </w:pPr>
      <w:r>
        <w:rPr>
          <w:rFonts w:hint="eastAsia" w:ascii="宋体" w:hAnsi="宋体" w:cs="宋体"/>
          <w:color w:val="auto"/>
          <w:sz w:val="24"/>
          <w:szCs w:val="24"/>
          <w:highlight w:val="none"/>
        </w:rPr>
        <w:t>若一方未能按合同约定履行自己的各项义务或发生错误，给另一方造成经济损失，另一方可按以下规定索赔：</w:t>
      </w:r>
    </w:p>
    <w:p w14:paraId="392D73EF">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.有正当索赔理由，且有索赔事件发生时的有关证据；</w:t>
      </w:r>
    </w:p>
    <w:p w14:paraId="5777DAC3">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.索赔事件发生后</w:t>
      </w:r>
      <w:r>
        <w:rPr>
          <w:rFonts w:ascii="宋体" w:hAnsi="宋体"/>
          <w:color w:val="auto"/>
          <w:sz w:val="24"/>
          <w:szCs w:val="24"/>
          <w:highlight w:val="none"/>
        </w:rPr>
        <w:t>28</w:t>
      </w:r>
      <w:r>
        <w:rPr>
          <w:rFonts w:hint="eastAsia" w:ascii="宋体" w:hAnsi="宋体" w:cs="宋体"/>
          <w:color w:val="auto"/>
          <w:sz w:val="24"/>
          <w:szCs w:val="24"/>
          <w:highlight w:val="none"/>
        </w:rPr>
        <w:t>天内，向对方发出要求索赔的通知；</w:t>
      </w:r>
    </w:p>
    <w:p w14:paraId="250A2FF4">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.一方在接到索赔通知后</w:t>
      </w:r>
      <w:r>
        <w:rPr>
          <w:rFonts w:ascii="宋体" w:hAnsi="宋体"/>
          <w:color w:val="auto"/>
          <w:sz w:val="24"/>
          <w:szCs w:val="24"/>
          <w:highlight w:val="none"/>
        </w:rPr>
        <w:t>28</w:t>
      </w:r>
      <w:r>
        <w:rPr>
          <w:rFonts w:hint="eastAsia" w:ascii="宋体" w:hAnsi="宋体" w:cs="宋体"/>
          <w:color w:val="auto"/>
          <w:sz w:val="24"/>
          <w:szCs w:val="24"/>
          <w:highlight w:val="none"/>
        </w:rPr>
        <w:t>天内给予批准，或要求另一方进一步补充索赔理由和证据，若一方在</w:t>
      </w:r>
      <w:r>
        <w:rPr>
          <w:rFonts w:ascii="宋体" w:hAnsi="宋体"/>
          <w:color w:val="auto"/>
          <w:sz w:val="24"/>
          <w:szCs w:val="24"/>
          <w:highlight w:val="none"/>
        </w:rPr>
        <w:t>28</w:t>
      </w:r>
      <w:r>
        <w:rPr>
          <w:rFonts w:hint="eastAsia" w:ascii="宋体" w:hAnsi="宋体" w:cs="宋体"/>
          <w:color w:val="auto"/>
          <w:sz w:val="24"/>
          <w:szCs w:val="24"/>
          <w:highlight w:val="none"/>
        </w:rPr>
        <w:t>天内未予答复，应视为该项索赔已经批准。</w:t>
      </w:r>
    </w:p>
    <w:p w14:paraId="16AC0AFB">
      <w:pPr>
        <w:pStyle w:val="36"/>
        <w:spacing w:before="0" w:after="0" w:line="360" w:lineRule="auto"/>
        <w:ind w:right="24"/>
        <w:outlineLvl w:val="0"/>
        <w:rPr>
          <w:rFonts w:ascii="宋体" w:hAnsi="宋体"/>
          <w:b/>
          <w:bCs/>
          <w:color w:val="auto"/>
          <w:spacing w:val="6"/>
          <w:szCs w:val="24"/>
          <w:highlight w:val="none"/>
        </w:rPr>
      </w:pPr>
      <w:bookmarkStart w:id="418" w:name="_Toc72846734"/>
      <w:bookmarkStart w:id="419" w:name="_Toc72846885"/>
      <w:r>
        <w:rPr>
          <w:rFonts w:hint="eastAsia" w:ascii="宋体" w:hAnsi="宋体"/>
          <w:b/>
          <w:bCs/>
          <w:color w:val="auto"/>
          <w:spacing w:val="6"/>
          <w:szCs w:val="24"/>
          <w:highlight w:val="none"/>
        </w:rPr>
        <w:t>九、其它</w:t>
      </w:r>
      <w:bookmarkEnd w:id="418"/>
      <w:bookmarkEnd w:id="419"/>
    </w:p>
    <w:p w14:paraId="0D10D79B">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w:t>
      </w:r>
      <w:r>
        <w:rPr>
          <w:rFonts w:ascii="宋体" w:hAnsi="宋体"/>
          <w:b/>
          <w:bCs/>
          <w:color w:val="auto"/>
          <w:sz w:val="24"/>
          <w:szCs w:val="24"/>
          <w:highlight w:val="none"/>
        </w:rPr>
        <w:t>6</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安全施工。</w:t>
      </w:r>
    </w:p>
    <w:p w14:paraId="4105C9A6">
      <w:pPr>
        <w:spacing w:line="360" w:lineRule="auto"/>
        <w:ind w:firstLine="480" w:firstLineChars="200"/>
        <w:rPr>
          <w:rFonts w:ascii="宋体" w:hAnsi="宋体"/>
          <w:color w:val="auto"/>
          <w:sz w:val="24"/>
          <w:szCs w:val="24"/>
          <w:highlight w:val="none"/>
        </w:rPr>
      </w:pPr>
      <w:r>
        <w:rPr>
          <w:rFonts w:ascii="宋体" w:hAnsi="宋体" w:cs="宋体"/>
          <w:color w:val="auto"/>
          <w:sz w:val="24"/>
          <w:szCs w:val="24"/>
          <w:highlight w:val="none"/>
        </w:rPr>
        <w:t>1.</w:t>
      </w:r>
      <w:r>
        <w:rPr>
          <w:rFonts w:hint="eastAsia" w:ascii="宋体" w:hAnsi="宋体" w:cs="宋体"/>
          <w:color w:val="auto"/>
          <w:sz w:val="24"/>
          <w:szCs w:val="24"/>
          <w:highlight w:val="none"/>
        </w:rPr>
        <w:t>乙方应遵守国家、当地政府及甲方工程建设安全生产有关管理规定，严格按安全标准组织施工，并随时接受行业安全人员依法实施的监督检查，采取必要的安全防护措施，消除事故隐患。由于乙方安全措施不力造成的事故责任和因此发生的费用，由乙方承担。</w:t>
      </w:r>
    </w:p>
    <w:p w14:paraId="3DAF7FAC">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乙方应对其在施工现场的工作人员进行安全教育，甲方不得要求乙方违反安全管理规定进行施工。</w:t>
      </w:r>
    </w:p>
    <w:p w14:paraId="46469AE1">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发生重大伤亡事故，乙方应按有关规定立即上报有关部门并通知甲方。同时按政府有关部门要求处理。发生的费用由事故责任方承担。</w:t>
      </w:r>
    </w:p>
    <w:p w14:paraId="220F3972">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s="宋体"/>
          <w:color w:val="auto"/>
          <w:sz w:val="24"/>
          <w:szCs w:val="24"/>
          <w:highlight w:val="none"/>
        </w:rPr>
        <w:t>乙方在动力设备、高电压线路、地下管道、易燃易爆地段以及交通要道附近施工前，应向监理、甲方提交安全保护措施，经监理、甲方批准后实施。但并不解除乙方承担安全事故的责任。</w:t>
      </w:r>
    </w:p>
    <w:p w14:paraId="1E075E0F">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5.</w:t>
      </w:r>
      <w:r>
        <w:rPr>
          <w:rFonts w:hint="eastAsia" w:ascii="宋体" w:hAnsi="宋体" w:cs="宋体"/>
          <w:color w:val="auto"/>
          <w:sz w:val="24"/>
          <w:szCs w:val="24"/>
          <w:highlight w:val="none"/>
        </w:rPr>
        <w:t>在有毒有害环境施工，乙方应按有关规定制定相应的防护措施，并承担有关的费用支出。</w:t>
      </w:r>
    </w:p>
    <w:p w14:paraId="547EA0F3">
      <w:pPr>
        <w:spacing w:line="360" w:lineRule="auto"/>
        <w:ind w:firstLine="480" w:firstLineChars="200"/>
        <w:rPr>
          <w:rFonts w:hint="eastAsia" w:ascii="宋体" w:hAnsi="宋体" w:cs="宋体"/>
          <w:color w:val="auto"/>
          <w:sz w:val="24"/>
          <w:szCs w:val="24"/>
          <w:highlight w:val="none"/>
        </w:rPr>
      </w:pPr>
      <w:r>
        <w:rPr>
          <w:rFonts w:ascii="宋体" w:hAnsi="宋体"/>
          <w:color w:val="auto"/>
          <w:sz w:val="24"/>
          <w:szCs w:val="24"/>
          <w:highlight w:val="none"/>
        </w:rPr>
        <w:t>6.</w:t>
      </w:r>
      <w:r>
        <w:rPr>
          <w:rFonts w:hint="eastAsia" w:ascii="宋体" w:hAnsi="宋体" w:cs="宋体"/>
          <w:color w:val="auto"/>
          <w:sz w:val="24"/>
          <w:szCs w:val="24"/>
          <w:highlight w:val="none"/>
        </w:rPr>
        <w:t>在施工、考核期间，监理、甲方应乙方工作需要派到乙方施工现场工作的人员，发生安全责任事故，由乙方承担责任和费用。</w:t>
      </w:r>
    </w:p>
    <w:p w14:paraId="16C2A3A0">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w:t>
      </w:r>
      <w:r>
        <w:rPr>
          <w:rFonts w:ascii="宋体" w:hAnsi="宋体"/>
          <w:b/>
          <w:bCs/>
          <w:color w:val="auto"/>
          <w:sz w:val="24"/>
          <w:szCs w:val="24"/>
          <w:highlight w:val="none"/>
        </w:rPr>
        <w:t>7</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职业健康</w:t>
      </w:r>
    </w:p>
    <w:p w14:paraId="2F6002FE">
      <w:pPr>
        <w:widowControl/>
        <w:spacing w:line="360" w:lineRule="auto"/>
        <w:jc w:val="left"/>
        <w:rPr>
          <w:rFonts w:ascii="宋体" w:hAnsi="宋体" w:cs="宋体"/>
          <w:color w:val="auto"/>
          <w:sz w:val="24"/>
          <w:szCs w:val="24"/>
          <w:highlight w:val="none"/>
        </w:rPr>
      </w:pPr>
      <w:r>
        <w:rPr>
          <w:rFonts w:hint="eastAsia"/>
          <w:color w:val="auto"/>
          <w:sz w:val="24"/>
          <w:szCs w:val="24"/>
          <w:highlight w:val="none"/>
        </w:rPr>
        <w:t xml:space="preserve">    </w:t>
      </w:r>
      <w:r>
        <w:rPr>
          <w:rFonts w:hint="eastAsia" w:ascii="宋体" w:hAnsi="宋体" w:cs="宋体"/>
          <w:color w:val="auto"/>
          <w:sz w:val="24"/>
          <w:szCs w:val="24"/>
          <w:highlight w:val="none"/>
        </w:rPr>
        <w:t>1. 乙方应遵守适用的职业健康的法律和合同约定（包括对雇用、职业健康、安全、福利等方面的规定），负责现场实施过程中其人员的职业健康和保护，包括：</w:t>
      </w:r>
    </w:p>
    <w:p w14:paraId="325A1626">
      <w:pPr>
        <w:widowControl/>
        <w:spacing w:line="360" w:lineRule="auto"/>
        <w:ind w:firstLine="240" w:firstLineChars="100"/>
        <w:jc w:val="left"/>
        <w:rPr>
          <w:rFonts w:ascii="宋体" w:hAnsi="宋体" w:cs="宋体"/>
          <w:color w:val="auto"/>
          <w:sz w:val="24"/>
          <w:szCs w:val="24"/>
          <w:highlight w:val="none"/>
        </w:rPr>
      </w:pPr>
      <w:r>
        <w:rPr>
          <w:rFonts w:hint="eastAsia" w:ascii="宋体" w:hAnsi="宋体" w:cs="宋体"/>
          <w:color w:val="auto"/>
          <w:sz w:val="24"/>
          <w:szCs w:val="24"/>
          <w:highlight w:val="none"/>
        </w:rPr>
        <w:t>（1） 乙方应遵守适用的劳动法规。</w:t>
      </w:r>
    </w:p>
    <w:p w14:paraId="3FAEA973">
      <w:pPr>
        <w:widowControl/>
        <w:spacing w:line="360" w:lineRule="auto"/>
        <w:ind w:firstLine="240" w:firstLineChars="100"/>
        <w:jc w:val="left"/>
        <w:rPr>
          <w:rFonts w:ascii="宋体" w:hAnsi="宋体" w:cs="宋体"/>
          <w:color w:val="auto"/>
          <w:sz w:val="24"/>
          <w:szCs w:val="24"/>
          <w:highlight w:val="none"/>
        </w:rPr>
      </w:pPr>
      <w:r>
        <w:rPr>
          <w:rFonts w:hint="eastAsia" w:ascii="宋体" w:hAnsi="宋体" w:cs="宋体"/>
          <w:color w:val="auto"/>
          <w:sz w:val="24"/>
          <w:szCs w:val="24"/>
          <w:highlight w:val="none"/>
        </w:rPr>
        <w:t>（2） 乙方应依法为</w:t>
      </w:r>
      <w:bookmarkStart w:id="420" w:name="_Hlk46339538"/>
      <w:r>
        <w:rPr>
          <w:rFonts w:hint="eastAsia" w:ascii="宋体" w:hAnsi="宋体" w:cs="宋体"/>
          <w:color w:val="auto"/>
          <w:sz w:val="24"/>
          <w:szCs w:val="24"/>
          <w:highlight w:val="none"/>
        </w:rPr>
        <w:t>乙方员工及乙方聘用的第三方人员</w:t>
      </w:r>
      <w:bookmarkEnd w:id="420"/>
      <w:r>
        <w:rPr>
          <w:rFonts w:hint="eastAsia" w:ascii="宋体" w:hAnsi="宋体" w:cs="宋体"/>
          <w:color w:val="auto"/>
          <w:sz w:val="24"/>
          <w:szCs w:val="24"/>
          <w:highlight w:val="none"/>
        </w:rPr>
        <w:t>办理必要的证件、许可、保险和注册等。</w:t>
      </w:r>
    </w:p>
    <w:p w14:paraId="1D528F55">
      <w:pPr>
        <w:widowControl/>
        <w:spacing w:line="360" w:lineRule="auto"/>
        <w:ind w:firstLine="240" w:firstLineChars="100"/>
        <w:jc w:val="left"/>
        <w:rPr>
          <w:rFonts w:ascii="宋体" w:hAnsi="宋体" w:cs="宋体"/>
          <w:color w:val="auto"/>
          <w:sz w:val="24"/>
          <w:szCs w:val="24"/>
          <w:highlight w:val="none"/>
        </w:rPr>
      </w:pPr>
      <w:r>
        <w:rPr>
          <w:rFonts w:hint="eastAsia" w:ascii="宋体" w:hAnsi="宋体" w:cs="宋体"/>
          <w:color w:val="auto"/>
          <w:sz w:val="24"/>
          <w:szCs w:val="24"/>
          <w:highlight w:val="none"/>
        </w:rPr>
        <w:t>（3） 乙方应对其施工人员进行相关作业的职业健康知识培训、危险及危害因素交底、安全操作规程交底、采取有效措施，按有关规定为其现场人员提供劳动保护用品、防护器具、防暑降温用品和安全生产设施。采取有效的防止粉尘、降低噪声、控制有害气体和保障高温、高寒、高空作业安全等劳动保护措施。</w:t>
      </w:r>
    </w:p>
    <w:p w14:paraId="46BE0E95">
      <w:pPr>
        <w:widowControl/>
        <w:spacing w:line="360" w:lineRule="auto"/>
        <w:ind w:firstLine="240" w:firstLineChars="100"/>
        <w:jc w:val="left"/>
        <w:rPr>
          <w:rFonts w:ascii="宋体" w:hAnsi="宋体" w:cs="宋体"/>
          <w:color w:val="auto"/>
          <w:sz w:val="24"/>
          <w:szCs w:val="24"/>
          <w:highlight w:val="none"/>
        </w:rPr>
      </w:pPr>
      <w:r>
        <w:rPr>
          <w:rFonts w:hint="eastAsia" w:ascii="宋体" w:hAnsi="宋体" w:cs="宋体"/>
          <w:color w:val="auto"/>
          <w:sz w:val="24"/>
          <w:szCs w:val="24"/>
          <w:highlight w:val="none"/>
        </w:rPr>
        <w:t>（4） 乙方应在有毒有害作业区域设置警示标志和说明，对有毒有害岗位进行防治检查，对不合格的防护设施、器具、搭设等及时整改，消除危害职业健康的隐患。</w:t>
      </w:r>
    </w:p>
    <w:p w14:paraId="3994BDB4">
      <w:pPr>
        <w:widowControl/>
        <w:spacing w:line="360" w:lineRule="auto"/>
        <w:ind w:firstLine="240" w:firstLineChars="1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 乙方应采取有效措施预防传染病，保持食堂的饮食卫生，保证施工人员的健康，并定期对施工现场、施工人员生活基地和工程进行防疫和卫生的专业检查和处理。乙方雇佣人员在施工中受到伤害的，乙方应立即采取有效措施进行抢救和治疗。</w:t>
      </w:r>
    </w:p>
    <w:p w14:paraId="1C372678">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28</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环境保护</w:t>
      </w:r>
    </w:p>
    <w:p w14:paraId="6F9E1B65">
      <w:pPr>
        <w:widowControl/>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乙方负责在现场施工过程中对现场周围的建筑物、构筑物、文物建筑、古树、名木，及地下管线、线缆、构筑物、文物、化石和坟墓等进行保护。因乙方未能通知甲方，并在未能得到甲方进一步指示的情况下，所造成的损害、损失、赔偿等费用增加，和（或）竣工日期延误，由乙方负责。</w:t>
      </w:r>
    </w:p>
    <w:p w14:paraId="4CACB89E">
      <w:pPr>
        <w:widowControl/>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2.乙方应采取措施，并负责控制和（或）处理现场的粉尘、废气、废水、固体废物和噪声对环境的污染和危害。因此发生的伤害、赔偿、罚款等费用增加，和（或）竣工日期延误，由乙方负责。</w:t>
      </w:r>
    </w:p>
    <w:p w14:paraId="2501F63B">
      <w:pPr>
        <w:widowControl/>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3.乙方及时或定期将施工现场残留、废弃的垃圾分类后运到甲方或当地有关行政部门指定的地点，防止对周围环境的污染及对作业的影响。乙方应当承担因其原因引起的环境污染侵权损害赔偿责任，因违反上述约定导致当地行政部门的罚款、赔偿等增加的费用，由乙方承担；因上述环境污染引起纠纷而导致暂停施工的，由此增加的费用和（或）延误的工期由乙方承担。</w:t>
      </w:r>
    </w:p>
    <w:p w14:paraId="085A9778">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29</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专利技术、特殊工艺和合理化建议</w:t>
      </w:r>
    </w:p>
    <w:p w14:paraId="649BB877">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乙方若采用专利技术和特殊工艺（如炸药），需负责办理相应的申报、审批手续，并承担申报、试验等费用。</w:t>
      </w:r>
    </w:p>
    <w:p w14:paraId="04AB5C37">
      <w:pPr>
        <w:spacing w:line="360" w:lineRule="auto"/>
        <w:ind w:left="420" w:left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擅自使用专利技术侵犯他人专利权的，责任者依法承担相应责任。</w:t>
      </w:r>
    </w:p>
    <w:p w14:paraId="7EE5B84C">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甲、乙双方不得向第三方泄露、转让对方所提交的产品图纸及技术经济资料。如发生以上情况并给对方造成经济损失，损失方有权向对方索赔。</w:t>
      </w:r>
    </w:p>
    <w:p w14:paraId="21004F63">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30</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地下障碍和文物</w:t>
      </w:r>
    </w:p>
    <w:p w14:paraId="2D58FEED">
      <w:pPr>
        <w:spacing w:line="360" w:lineRule="auto"/>
        <w:ind w:firstLine="432"/>
        <w:rPr>
          <w:rFonts w:ascii="宋体" w:hAnsi="宋体"/>
          <w:color w:val="auto"/>
          <w:sz w:val="24"/>
          <w:szCs w:val="24"/>
          <w:highlight w:val="none"/>
        </w:rPr>
      </w:pPr>
      <w:r>
        <w:rPr>
          <w:rFonts w:hint="eastAsia" w:ascii="宋体" w:hAnsi="宋体" w:cs="宋体"/>
          <w:color w:val="auto"/>
          <w:sz w:val="24"/>
          <w:szCs w:val="24"/>
          <w:highlight w:val="none"/>
        </w:rPr>
        <w:t>乙方在施工中发现文物、古墓、古建筑基础和结构、化石、钱币等有考古、地质研究等价值的物品或其它影响施工的地下障碍物时，应在</w:t>
      </w:r>
      <w:r>
        <w:rPr>
          <w:rFonts w:ascii="宋体" w:hAnsi="宋体"/>
          <w:color w:val="auto"/>
          <w:sz w:val="24"/>
          <w:szCs w:val="24"/>
          <w:highlight w:val="none"/>
        </w:rPr>
        <w:t>4</w:t>
      </w:r>
      <w:r>
        <w:rPr>
          <w:rFonts w:hint="eastAsia" w:ascii="宋体" w:hAnsi="宋体" w:cs="宋体"/>
          <w:color w:val="auto"/>
          <w:sz w:val="24"/>
          <w:szCs w:val="24"/>
          <w:highlight w:val="none"/>
        </w:rPr>
        <w:t>小时内通知甲方，甲方应在收到通知后</w:t>
      </w:r>
      <w:r>
        <w:rPr>
          <w:rFonts w:ascii="宋体" w:hAnsi="宋体"/>
          <w:color w:val="auto"/>
          <w:sz w:val="24"/>
          <w:szCs w:val="24"/>
          <w:highlight w:val="none"/>
        </w:rPr>
        <w:t>24</w:t>
      </w:r>
      <w:r>
        <w:rPr>
          <w:rFonts w:hint="eastAsia" w:ascii="宋体" w:hAnsi="宋体" w:cs="宋体"/>
          <w:color w:val="auto"/>
          <w:sz w:val="24"/>
          <w:szCs w:val="24"/>
          <w:highlight w:val="none"/>
        </w:rPr>
        <w:t>小时内报告有关管理部门，乙方应采取有效保护措施，延误的工期相应顺延。</w:t>
      </w:r>
    </w:p>
    <w:p w14:paraId="2768E1DA">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31</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工程转包、分包</w:t>
      </w:r>
    </w:p>
    <w:p w14:paraId="0BD761C6">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本工程不得转包，不</w:t>
      </w:r>
      <w:r>
        <w:rPr>
          <w:rFonts w:hint="eastAsia" w:ascii="宋体" w:hAnsi="宋体" w:cs="宋体"/>
          <w:color w:val="auto"/>
          <w:sz w:val="24"/>
          <w:szCs w:val="24"/>
          <w:highlight w:val="none"/>
          <w:lang w:val="en-US" w:eastAsia="zh-CN"/>
        </w:rPr>
        <w:t>得</w:t>
      </w:r>
      <w:r>
        <w:rPr>
          <w:rFonts w:hint="eastAsia" w:ascii="宋体" w:hAnsi="宋体" w:cs="宋体"/>
          <w:color w:val="auto"/>
          <w:sz w:val="24"/>
          <w:szCs w:val="24"/>
          <w:highlight w:val="none"/>
        </w:rPr>
        <w:t>违法分包。</w:t>
      </w:r>
    </w:p>
    <w:p w14:paraId="52B53170">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3</w:t>
      </w:r>
      <w:r>
        <w:rPr>
          <w:rFonts w:hint="eastAsia" w:ascii="宋体" w:hAnsi="宋体"/>
          <w:b/>
          <w:bCs/>
          <w:color w:val="auto"/>
          <w:sz w:val="24"/>
          <w:szCs w:val="24"/>
          <w:highlight w:val="none"/>
        </w:rPr>
        <w:t>2</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不可抗力</w:t>
      </w:r>
    </w:p>
    <w:p w14:paraId="3FC3C47E">
      <w:pPr>
        <w:spacing w:line="360" w:lineRule="auto"/>
        <w:ind w:firstLine="480"/>
        <w:rPr>
          <w:rFonts w:ascii="宋体" w:hAnsi="宋体"/>
          <w:color w:val="auto"/>
          <w:sz w:val="24"/>
          <w:szCs w:val="24"/>
          <w:highlight w:val="none"/>
        </w:rPr>
      </w:pPr>
      <w:r>
        <w:rPr>
          <w:rFonts w:hint="eastAsia" w:ascii="宋体" w:hAnsi="宋体" w:cs="宋体"/>
          <w:color w:val="auto"/>
          <w:sz w:val="24"/>
          <w:szCs w:val="24"/>
          <w:highlight w:val="none"/>
        </w:rPr>
        <w:t>不可抗力发生后，乙方应迅速采取措施，尽力减少损失，并在</w:t>
      </w:r>
      <w:r>
        <w:rPr>
          <w:rFonts w:ascii="宋体" w:hAnsi="宋体"/>
          <w:color w:val="auto"/>
          <w:sz w:val="24"/>
          <w:szCs w:val="24"/>
          <w:highlight w:val="none"/>
        </w:rPr>
        <w:t>24</w:t>
      </w:r>
      <w:r>
        <w:rPr>
          <w:rFonts w:hint="eastAsia" w:ascii="宋体" w:hAnsi="宋体" w:cs="宋体"/>
          <w:color w:val="auto"/>
          <w:sz w:val="24"/>
          <w:szCs w:val="24"/>
          <w:highlight w:val="none"/>
        </w:rPr>
        <w:t>小时内向甲方报告受害情况，按协议条款约定的时间向甲方报告损失情况和清理、修复的费用。灾害继续发生，乙方应每隔</w:t>
      </w:r>
      <w:r>
        <w:rPr>
          <w:rFonts w:ascii="宋体" w:hAnsi="宋体"/>
          <w:color w:val="auto"/>
          <w:sz w:val="24"/>
          <w:szCs w:val="24"/>
          <w:highlight w:val="none"/>
        </w:rPr>
        <w:t>10</w:t>
      </w:r>
      <w:r>
        <w:rPr>
          <w:rFonts w:hint="eastAsia" w:ascii="宋体" w:hAnsi="宋体" w:cs="宋体"/>
          <w:color w:val="auto"/>
          <w:sz w:val="24"/>
          <w:szCs w:val="24"/>
          <w:highlight w:val="none"/>
        </w:rPr>
        <w:t>天向甲方报告一次灾害情况，直到灾害结束。甲方应对灾害处理提供必要条件，同时相应顺延延误的工期。</w:t>
      </w:r>
    </w:p>
    <w:p w14:paraId="23B7105B">
      <w:pPr>
        <w:spacing w:line="360" w:lineRule="auto"/>
        <w:rPr>
          <w:rFonts w:ascii="宋体" w:hAnsi="宋体"/>
          <w:color w:val="auto"/>
          <w:sz w:val="24"/>
          <w:szCs w:val="24"/>
          <w:highlight w:val="none"/>
        </w:rPr>
      </w:pPr>
      <w:r>
        <w:rPr>
          <w:rFonts w:ascii="宋体" w:hAnsi="宋体"/>
          <w:color w:val="auto"/>
          <w:sz w:val="24"/>
          <w:szCs w:val="24"/>
          <w:highlight w:val="none"/>
        </w:rPr>
        <w:t xml:space="preserve">    </w:t>
      </w:r>
      <w:r>
        <w:rPr>
          <w:rFonts w:hint="eastAsia" w:ascii="宋体" w:hAnsi="宋体" w:cs="宋体"/>
          <w:color w:val="auto"/>
          <w:sz w:val="24"/>
          <w:szCs w:val="24"/>
          <w:highlight w:val="none"/>
        </w:rPr>
        <w:t>因不可抗力灾害发生的费用由双方分别承担：</w:t>
      </w:r>
    </w:p>
    <w:p w14:paraId="2D76056F">
      <w:pPr>
        <w:spacing w:line="360" w:lineRule="auto"/>
        <w:rPr>
          <w:rFonts w:ascii="宋体" w:hAnsi="宋体"/>
          <w:color w:val="auto"/>
          <w:sz w:val="24"/>
          <w:szCs w:val="24"/>
          <w:highlight w:val="none"/>
        </w:rPr>
      </w:pPr>
      <w:r>
        <w:rPr>
          <w:rFonts w:ascii="宋体" w:hAnsi="宋体"/>
          <w:color w:val="auto"/>
          <w:sz w:val="24"/>
          <w:szCs w:val="24"/>
          <w:highlight w:val="none"/>
        </w:rPr>
        <w:t xml:space="preserve">    1</w:t>
      </w:r>
      <w:r>
        <w:rPr>
          <w:rFonts w:hint="eastAsia" w:ascii="宋体" w:hAnsi="宋体" w:cs="宋体"/>
          <w:color w:val="auto"/>
          <w:sz w:val="24"/>
          <w:szCs w:val="24"/>
          <w:highlight w:val="none"/>
        </w:rPr>
        <w:t>.甲、乙双方的人员伤亡由各方负责，各自承担相应费用；</w:t>
      </w:r>
    </w:p>
    <w:p w14:paraId="5E3EF07E">
      <w:pPr>
        <w:spacing w:line="360" w:lineRule="auto"/>
        <w:rPr>
          <w:rFonts w:ascii="宋体" w:hAnsi="宋体"/>
          <w:color w:val="auto"/>
          <w:sz w:val="24"/>
          <w:szCs w:val="24"/>
          <w:highlight w:val="none"/>
        </w:rPr>
      </w:pPr>
      <w:r>
        <w:rPr>
          <w:rFonts w:ascii="宋体" w:hAnsi="宋体"/>
          <w:color w:val="auto"/>
          <w:sz w:val="24"/>
          <w:szCs w:val="24"/>
          <w:highlight w:val="none"/>
        </w:rPr>
        <w:t xml:space="preserve">    2</w:t>
      </w:r>
      <w:r>
        <w:rPr>
          <w:rFonts w:hint="eastAsia" w:ascii="宋体" w:hAnsi="宋体" w:cs="宋体"/>
          <w:color w:val="auto"/>
          <w:sz w:val="24"/>
          <w:szCs w:val="24"/>
          <w:highlight w:val="none"/>
        </w:rPr>
        <w:t>.造成乙方设备、机械的损坏及停工等损失，由乙方承担；</w:t>
      </w:r>
    </w:p>
    <w:p w14:paraId="6D651114">
      <w:pPr>
        <w:spacing w:line="360" w:lineRule="auto"/>
        <w:rPr>
          <w:rFonts w:ascii="宋体" w:hAnsi="宋体"/>
          <w:color w:val="auto"/>
          <w:sz w:val="24"/>
          <w:szCs w:val="24"/>
          <w:highlight w:val="none"/>
        </w:rPr>
      </w:pPr>
      <w:r>
        <w:rPr>
          <w:rFonts w:ascii="宋体" w:hAnsi="宋体"/>
          <w:color w:val="auto"/>
          <w:sz w:val="24"/>
          <w:szCs w:val="24"/>
          <w:highlight w:val="none"/>
        </w:rPr>
        <w:t xml:space="preserve">    3</w:t>
      </w:r>
      <w:r>
        <w:rPr>
          <w:rFonts w:hint="eastAsia" w:ascii="宋体" w:hAnsi="宋体" w:cs="宋体"/>
          <w:color w:val="auto"/>
          <w:sz w:val="24"/>
          <w:szCs w:val="24"/>
          <w:highlight w:val="none"/>
        </w:rPr>
        <w:t>.所需清理修复工作的责任与费用的承担，双方另签补充协议约定。</w:t>
      </w:r>
    </w:p>
    <w:p w14:paraId="530B80D7">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3</w:t>
      </w:r>
      <w:r>
        <w:rPr>
          <w:rFonts w:hint="eastAsia" w:ascii="宋体" w:hAnsi="宋体"/>
          <w:b/>
          <w:bCs/>
          <w:color w:val="auto"/>
          <w:sz w:val="24"/>
          <w:szCs w:val="24"/>
          <w:highlight w:val="none"/>
        </w:rPr>
        <w:t>3</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合同解除</w:t>
      </w:r>
    </w:p>
    <w:p w14:paraId="37C4D87F">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甲方、乙方协商一致，可以解除合同。</w:t>
      </w:r>
    </w:p>
    <w:p w14:paraId="5ABB394A">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发生本合同条款禁止的情况，乙方将其承包的全部工程转包、分包给他人，甲方有权解除合同。</w:t>
      </w:r>
    </w:p>
    <w:p w14:paraId="4B280376">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s="宋体"/>
          <w:color w:val="auto"/>
          <w:sz w:val="24"/>
          <w:szCs w:val="24"/>
          <w:highlight w:val="none"/>
        </w:rPr>
        <w:t>.有下列情形之一的，甲、乙双方可以解除合同：</w:t>
      </w:r>
    </w:p>
    <w:p w14:paraId="6E342951">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因不可抗力致使合同无法履行；</w:t>
      </w:r>
    </w:p>
    <w:p w14:paraId="58698732">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因一方违约致使合同无法履行。</w:t>
      </w:r>
    </w:p>
    <w:p w14:paraId="1D31AA42">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s="宋体"/>
          <w:color w:val="auto"/>
          <w:sz w:val="24"/>
          <w:szCs w:val="24"/>
          <w:highlight w:val="none"/>
        </w:rPr>
        <w:t>一方依据合同条款约定要求解除合同的，应以书面形式向对方发出解除合同的通知，并在发出通知前</w:t>
      </w:r>
      <w:r>
        <w:rPr>
          <w:rFonts w:ascii="宋体" w:hAnsi="宋体"/>
          <w:color w:val="auto"/>
          <w:sz w:val="24"/>
          <w:szCs w:val="24"/>
          <w:highlight w:val="none"/>
        </w:rPr>
        <w:t>7</w:t>
      </w:r>
      <w:r>
        <w:rPr>
          <w:rFonts w:hint="eastAsia" w:ascii="宋体" w:hAnsi="宋体" w:cs="宋体"/>
          <w:color w:val="auto"/>
          <w:sz w:val="24"/>
          <w:szCs w:val="24"/>
          <w:highlight w:val="none"/>
        </w:rPr>
        <w:t>天告知对方。对解除合同有争议的，按本合同相关条款关于争议的约定处理。</w:t>
      </w:r>
    </w:p>
    <w:p w14:paraId="7AB0B56F">
      <w:pPr>
        <w:spacing w:line="360" w:lineRule="auto"/>
        <w:ind w:firstLine="480" w:firstLineChars="200"/>
        <w:rPr>
          <w:rFonts w:ascii="宋体" w:hAnsi="宋体" w:cs="宋体"/>
          <w:color w:val="auto"/>
          <w:sz w:val="24"/>
          <w:szCs w:val="24"/>
          <w:highlight w:val="none"/>
        </w:rPr>
      </w:pPr>
      <w:r>
        <w:rPr>
          <w:rFonts w:ascii="宋体" w:hAnsi="宋体"/>
          <w:color w:val="auto"/>
          <w:sz w:val="24"/>
          <w:szCs w:val="24"/>
          <w:highlight w:val="none"/>
        </w:rPr>
        <w:t>5.</w:t>
      </w:r>
      <w:r>
        <w:rPr>
          <w:rFonts w:hint="eastAsia" w:ascii="宋体" w:hAnsi="宋体" w:cs="宋体"/>
          <w:color w:val="auto"/>
          <w:sz w:val="24"/>
          <w:szCs w:val="24"/>
          <w:highlight w:val="none"/>
        </w:rPr>
        <w:t>合同解除后，乙方应妥善做好已完工程和已购材料、设备的保护和移交工作，按甲方要求将自有机械设备和人员撤出施工场地。甲方应为乙方撤出提供必要条件，并按合同约定支付已完工程价款。已经订货的材料、设备由订货方负责退货或解除订货合同，因未及时退货造成的损失由责任方承担。同时，有过错的一方应当赔偿因合同解除给对方造成的损失。</w:t>
      </w:r>
    </w:p>
    <w:p w14:paraId="3FE69C6B">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6.</w:t>
      </w:r>
      <w:r>
        <w:rPr>
          <w:rFonts w:hint="eastAsia" w:ascii="宋体" w:hAnsi="宋体" w:cs="宋体"/>
          <w:color w:val="auto"/>
          <w:sz w:val="24"/>
          <w:szCs w:val="24"/>
          <w:highlight w:val="none"/>
        </w:rPr>
        <w:t>合同解除后，不影响双方在合同中约定的结算和清理条款的效力。</w:t>
      </w:r>
    </w:p>
    <w:p w14:paraId="623251E6">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34</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保险</w:t>
      </w:r>
    </w:p>
    <w:p w14:paraId="62C364BF">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乙方必须办理施工场地人员、财产、机械设备的保险。</w:t>
      </w:r>
    </w:p>
    <w:p w14:paraId="2E687598">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35</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工程停建或缓建</w:t>
      </w:r>
    </w:p>
    <w:p w14:paraId="326120E4">
      <w:pPr>
        <w:spacing w:line="360" w:lineRule="auto"/>
        <w:ind w:firstLine="480" w:firstLineChars="200"/>
        <w:rPr>
          <w:rFonts w:ascii="宋体" w:hAnsi="宋体" w:cs="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由于政策变化、不可抗力以及甲乙双方之外原因导致工程停建或缓建，使合同不能继续履行，乙方应妥善做好已完工程和已购材料、设备的保护和移交工作；按甲方要求将自有机械设备和人员撤出施工现场。甲方应为乙方撤出提供必要条件，并按合同规定支付已完工程价款。</w:t>
      </w:r>
    </w:p>
    <w:p w14:paraId="0D961618">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s="宋体"/>
          <w:color w:val="auto"/>
          <w:sz w:val="24"/>
          <w:szCs w:val="24"/>
          <w:highlight w:val="none"/>
        </w:rPr>
        <w:t>由乙方负责订购的材料、设备，由乙方负责退货，不能退还的货款和退货发生的费用，经甲方确认后由甲方承担。但未及时退货造成的损失由责任方承担。</w:t>
      </w:r>
    </w:p>
    <w:p w14:paraId="29798EF8">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第36条</w:t>
      </w:r>
      <w:r>
        <w:rPr>
          <w:rFonts w:ascii="宋体" w:hAnsi="宋体"/>
          <w:b/>
          <w:color w:val="auto"/>
          <w:sz w:val="24"/>
          <w:szCs w:val="24"/>
          <w:highlight w:val="none"/>
        </w:rPr>
        <w:t xml:space="preserve"> 补充条款</w:t>
      </w:r>
    </w:p>
    <w:p w14:paraId="01634118">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乙方通过对现场考察，应结合本工程的实际情况，对施工现场作周密布置，除充分考虑上述规定外，还应对现场施工用水的排放及排污做统一安排。若因排水、排污妨碍沿线居民正常生活或工农业生产，一切责任由乙方承担。</w:t>
      </w:r>
    </w:p>
    <w:p w14:paraId="6689892B">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承包人应履行《保障农民工工资支付条例》及保障农民工工资有关规定的义务，包括但不限于：（1）承包人应按照有关规定开设农民工工资专用账户并向主管部门备案、足额缴纳农民工工资保证金或者提供金融机构保函，并按月足额发放农民工工资，不得拖欠。开设、使用农民工工资专用账户有关资料由承包人妥善保存备查。（2）承包人应与所招用的农民工签订劳动合同、进行实名管理，建立用工管理台账，并将农民工劳动合同、身份证复印件交业主备案，并在施工现场醒目位置设立维权信息告示牌。（3）承包人还需在工程项目部配备劳资专管员，掌握施工现场用工、考勤、工资支付等情况，并应每月向业主汇报。</w:t>
      </w:r>
    </w:p>
    <w:p w14:paraId="7A48A080">
      <w:pPr>
        <w:spacing w:line="360" w:lineRule="auto"/>
        <w:ind w:firstLine="480" w:firstLineChars="200"/>
        <w:rPr>
          <w:highlight w:val="none"/>
        </w:rPr>
      </w:pPr>
      <w:r>
        <w:rPr>
          <w:rFonts w:hint="eastAsia" w:ascii="宋体" w:hAnsi="宋体"/>
          <w:sz w:val="24"/>
          <w:highlight w:val="none"/>
        </w:rPr>
        <w:t>如因承包人拖欠工资或其他员工待遇原因造成相关施工人员聚集、停工、上访等现象，由此引起的任何业主损失均由承包人承担。因此造成工期延误的，工期不得延长。业主支付被拖欠工资视为已经承包人授权，业主无义务再向承包人支付被扣除款项。</w:t>
      </w:r>
    </w:p>
    <w:p w14:paraId="7AD06759">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37</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合同的成立与终止</w:t>
      </w:r>
    </w:p>
    <w:p w14:paraId="1788F122">
      <w:pPr>
        <w:spacing w:line="360" w:lineRule="auto"/>
        <w:ind w:firstLine="480"/>
        <w:rPr>
          <w:rFonts w:ascii="宋体" w:hAnsi="宋体"/>
          <w:color w:val="auto"/>
          <w:sz w:val="24"/>
          <w:szCs w:val="24"/>
          <w:highlight w:val="none"/>
        </w:rPr>
      </w:pPr>
      <w:r>
        <w:rPr>
          <w:rFonts w:hint="eastAsia" w:ascii="宋体" w:hAnsi="宋体" w:cs="宋体"/>
          <w:color w:val="auto"/>
          <w:sz w:val="24"/>
          <w:szCs w:val="24"/>
          <w:highlight w:val="none"/>
        </w:rPr>
        <w:t>本合同自签订之日起成立。在工程交工验收合格，办理竣工结算、甲方支付完毕，工程竣工验收合格后，除有关保修及相关条款仍然生效外，其它条款即告终止。</w:t>
      </w:r>
    </w:p>
    <w:p w14:paraId="2F656794">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38</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合同份数</w:t>
      </w:r>
    </w:p>
    <w:p w14:paraId="50FD526B">
      <w:pPr>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合同十二份，由甲乙双方签字盖章后分别保存。甲方七份，乙方五份。</w:t>
      </w:r>
    </w:p>
    <w:p w14:paraId="74AAF53B">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39</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合同附件</w:t>
      </w:r>
    </w:p>
    <w:p w14:paraId="0CD7E615">
      <w:pPr>
        <w:spacing w:line="360" w:lineRule="auto"/>
        <w:ind w:firstLine="480" w:firstLineChars="200"/>
        <w:jc w:val="left"/>
        <w:rPr>
          <w:rFonts w:ascii="宋体" w:hAnsi="宋体"/>
          <w:color w:val="auto"/>
          <w:sz w:val="24"/>
          <w:szCs w:val="24"/>
          <w:highlight w:val="none"/>
        </w:rPr>
      </w:pPr>
      <w:r>
        <w:rPr>
          <w:rFonts w:hint="eastAsia" w:ascii="宋体" w:hAnsi="宋体" w:cs="宋体"/>
          <w:color w:val="auto"/>
          <w:sz w:val="24"/>
          <w:szCs w:val="24"/>
          <w:highlight w:val="none"/>
        </w:rPr>
        <w:t>附件</w:t>
      </w:r>
      <w:r>
        <w:rPr>
          <w:rFonts w:ascii="宋体" w:hAnsi="宋体" w:cs="宋体"/>
          <w:color w:val="auto"/>
          <w:sz w:val="24"/>
          <w:szCs w:val="24"/>
          <w:highlight w:val="none"/>
        </w:rPr>
        <w:t>1</w:t>
      </w:r>
      <w:r>
        <w:rPr>
          <w:rFonts w:hint="eastAsia" w:ascii="宋体" w:hAnsi="宋体" w:cs="宋体"/>
          <w:color w:val="auto"/>
          <w:sz w:val="24"/>
          <w:szCs w:val="24"/>
          <w:highlight w:val="none"/>
        </w:rPr>
        <w:t>：工程质量保修书；</w:t>
      </w:r>
    </w:p>
    <w:p w14:paraId="3D4B8453">
      <w:pPr>
        <w:spacing w:line="360" w:lineRule="auto"/>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附件2：廉政合同；</w:t>
      </w:r>
    </w:p>
    <w:p w14:paraId="7E736E65">
      <w:pPr>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附件3：安全环保管理协议；</w:t>
      </w:r>
    </w:p>
    <w:p w14:paraId="2168E523">
      <w:pPr>
        <w:pStyle w:val="20"/>
        <w:ind w:firstLine="468"/>
        <w:rPr>
          <w:rFonts w:hint="eastAsia"/>
          <w:color w:val="auto"/>
          <w:highlight w:val="none"/>
        </w:rPr>
      </w:pPr>
    </w:p>
    <w:p w14:paraId="725AACCF">
      <w:pPr>
        <w:pStyle w:val="6"/>
        <w:spacing w:line="360" w:lineRule="auto"/>
        <w:jc w:val="center"/>
        <w:rPr>
          <w:rFonts w:hint="eastAsia" w:ascii="宋体" w:hAnsi="宋体"/>
          <w:color w:val="auto"/>
          <w:szCs w:val="24"/>
          <w:highlight w:val="none"/>
        </w:rPr>
      </w:pPr>
      <w:bookmarkStart w:id="421" w:name="_Toc72846886"/>
      <w:bookmarkStart w:id="422" w:name="_Toc72846735"/>
    </w:p>
    <w:p w14:paraId="7BB958B5">
      <w:pPr>
        <w:pStyle w:val="6"/>
        <w:spacing w:line="360" w:lineRule="auto"/>
        <w:jc w:val="center"/>
        <w:rPr>
          <w:rFonts w:hint="eastAsia" w:ascii="宋体" w:hAnsi="宋体"/>
          <w:color w:val="auto"/>
          <w:szCs w:val="24"/>
          <w:highlight w:val="none"/>
        </w:rPr>
      </w:pPr>
    </w:p>
    <w:p w14:paraId="13DB85A9">
      <w:pPr>
        <w:rPr>
          <w:rFonts w:hint="eastAsia" w:ascii="宋体" w:hAnsi="宋体"/>
          <w:color w:val="auto"/>
          <w:szCs w:val="24"/>
          <w:highlight w:val="none"/>
        </w:rPr>
      </w:pPr>
    </w:p>
    <w:p w14:paraId="3E2EF198">
      <w:pPr>
        <w:pStyle w:val="27"/>
        <w:rPr>
          <w:rFonts w:hint="eastAsia" w:ascii="宋体" w:hAnsi="宋体"/>
          <w:color w:val="auto"/>
          <w:szCs w:val="24"/>
          <w:highlight w:val="none"/>
        </w:rPr>
      </w:pPr>
    </w:p>
    <w:p w14:paraId="0C2338C3">
      <w:pPr>
        <w:pStyle w:val="27"/>
        <w:rPr>
          <w:rFonts w:hint="eastAsia" w:ascii="宋体" w:hAnsi="宋体"/>
          <w:color w:val="auto"/>
          <w:szCs w:val="24"/>
          <w:highlight w:val="none"/>
        </w:rPr>
      </w:pPr>
    </w:p>
    <w:p w14:paraId="193A87D0">
      <w:pPr>
        <w:pStyle w:val="27"/>
        <w:rPr>
          <w:rFonts w:hint="eastAsia" w:ascii="宋体" w:hAnsi="宋体"/>
          <w:color w:val="auto"/>
          <w:szCs w:val="24"/>
          <w:highlight w:val="none"/>
        </w:rPr>
      </w:pPr>
    </w:p>
    <w:p w14:paraId="26B66D05">
      <w:pPr>
        <w:pStyle w:val="27"/>
        <w:rPr>
          <w:rFonts w:hint="eastAsia" w:ascii="宋体" w:hAnsi="宋体"/>
          <w:color w:val="auto"/>
          <w:szCs w:val="24"/>
          <w:highlight w:val="none"/>
        </w:rPr>
      </w:pPr>
    </w:p>
    <w:p w14:paraId="14EB4EBA">
      <w:pPr>
        <w:pStyle w:val="27"/>
        <w:rPr>
          <w:rFonts w:hint="eastAsia" w:ascii="宋体" w:hAnsi="宋体"/>
          <w:color w:val="auto"/>
          <w:szCs w:val="24"/>
          <w:highlight w:val="none"/>
        </w:rPr>
      </w:pPr>
    </w:p>
    <w:p w14:paraId="4885077A">
      <w:pPr>
        <w:pStyle w:val="27"/>
        <w:rPr>
          <w:rFonts w:hint="eastAsia" w:ascii="宋体" w:hAnsi="宋体"/>
          <w:color w:val="auto"/>
          <w:szCs w:val="24"/>
          <w:highlight w:val="none"/>
        </w:rPr>
      </w:pPr>
    </w:p>
    <w:p w14:paraId="66184363">
      <w:pPr>
        <w:pStyle w:val="27"/>
        <w:rPr>
          <w:rFonts w:hint="eastAsia" w:ascii="宋体" w:hAnsi="宋体"/>
          <w:color w:val="auto"/>
          <w:szCs w:val="24"/>
          <w:highlight w:val="none"/>
        </w:rPr>
      </w:pPr>
    </w:p>
    <w:p w14:paraId="3EF564A9">
      <w:pPr>
        <w:pStyle w:val="27"/>
        <w:rPr>
          <w:rFonts w:hint="eastAsia" w:ascii="宋体" w:hAnsi="宋体"/>
          <w:color w:val="auto"/>
          <w:szCs w:val="24"/>
          <w:highlight w:val="none"/>
        </w:rPr>
      </w:pPr>
    </w:p>
    <w:p w14:paraId="5CE459F9">
      <w:pPr>
        <w:pStyle w:val="27"/>
        <w:rPr>
          <w:rFonts w:hint="eastAsia" w:ascii="宋体" w:hAnsi="宋体"/>
          <w:color w:val="auto"/>
          <w:szCs w:val="24"/>
          <w:highlight w:val="none"/>
        </w:rPr>
      </w:pPr>
    </w:p>
    <w:p w14:paraId="56DA6333">
      <w:pPr>
        <w:pStyle w:val="27"/>
        <w:rPr>
          <w:rFonts w:hint="eastAsia" w:ascii="宋体" w:hAnsi="宋体"/>
          <w:color w:val="auto"/>
          <w:szCs w:val="24"/>
          <w:highlight w:val="none"/>
        </w:rPr>
      </w:pPr>
    </w:p>
    <w:p w14:paraId="531A52FD">
      <w:pPr>
        <w:pStyle w:val="27"/>
        <w:rPr>
          <w:rFonts w:hint="eastAsia" w:ascii="宋体" w:hAnsi="宋体"/>
          <w:color w:val="auto"/>
          <w:szCs w:val="24"/>
          <w:highlight w:val="none"/>
        </w:rPr>
      </w:pPr>
    </w:p>
    <w:p w14:paraId="5CACF971">
      <w:pPr>
        <w:pStyle w:val="27"/>
        <w:rPr>
          <w:rFonts w:hint="eastAsia" w:ascii="宋体" w:hAnsi="宋体"/>
          <w:color w:val="auto"/>
          <w:szCs w:val="24"/>
          <w:highlight w:val="none"/>
        </w:rPr>
      </w:pPr>
    </w:p>
    <w:p w14:paraId="70C97D75">
      <w:pPr>
        <w:pStyle w:val="27"/>
        <w:rPr>
          <w:rFonts w:hint="eastAsia" w:ascii="宋体" w:hAnsi="宋体"/>
          <w:color w:val="auto"/>
          <w:szCs w:val="24"/>
          <w:highlight w:val="none"/>
        </w:rPr>
      </w:pPr>
    </w:p>
    <w:p w14:paraId="1D6D0F5D">
      <w:pPr>
        <w:pStyle w:val="27"/>
        <w:rPr>
          <w:rFonts w:hint="eastAsia" w:ascii="宋体" w:hAnsi="宋体"/>
          <w:color w:val="auto"/>
          <w:szCs w:val="24"/>
          <w:highlight w:val="none"/>
        </w:rPr>
      </w:pPr>
    </w:p>
    <w:p w14:paraId="7F1AB911">
      <w:pPr>
        <w:pStyle w:val="27"/>
        <w:rPr>
          <w:rFonts w:hint="eastAsia" w:ascii="宋体" w:hAnsi="宋体"/>
          <w:color w:val="auto"/>
          <w:szCs w:val="24"/>
          <w:highlight w:val="none"/>
        </w:rPr>
      </w:pPr>
    </w:p>
    <w:p w14:paraId="2594BFED">
      <w:pPr>
        <w:pStyle w:val="27"/>
        <w:rPr>
          <w:rFonts w:hint="eastAsia" w:ascii="宋体" w:hAnsi="宋体"/>
          <w:color w:val="auto"/>
          <w:szCs w:val="24"/>
          <w:highlight w:val="none"/>
        </w:rPr>
      </w:pPr>
    </w:p>
    <w:p w14:paraId="137DABC6">
      <w:pPr>
        <w:pStyle w:val="27"/>
        <w:rPr>
          <w:rFonts w:hint="eastAsia" w:ascii="宋体" w:hAnsi="宋体"/>
          <w:color w:val="auto"/>
          <w:szCs w:val="24"/>
          <w:highlight w:val="none"/>
        </w:rPr>
      </w:pPr>
    </w:p>
    <w:p w14:paraId="267F6016">
      <w:pPr>
        <w:pStyle w:val="27"/>
        <w:rPr>
          <w:rFonts w:hint="eastAsia" w:ascii="宋体" w:hAnsi="宋体"/>
          <w:color w:val="auto"/>
          <w:szCs w:val="24"/>
          <w:highlight w:val="none"/>
        </w:rPr>
      </w:pPr>
    </w:p>
    <w:p w14:paraId="48037E43">
      <w:pPr>
        <w:pStyle w:val="27"/>
        <w:rPr>
          <w:rFonts w:hint="eastAsia" w:ascii="宋体" w:hAnsi="宋体"/>
          <w:color w:val="auto"/>
          <w:szCs w:val="24"/>
          <w:highlight w:val="none"/>
        </w:rPr>
      </w:pPr>
    </w:p>
    <w:p w14:paraId="48422FC5">
      <w:pPr>
        <w:pStyle w:val="27"/>
        <w:rPr>
          <w:rFonts w:hint="eastAsia" w:ascii="宋体" w:hAnsi="宋体"/>
          <w:color w:val="auto"/>
          <w:szCs w:val="24"/>
          <w:highlight w:val="none"/>
        </w:rPr>
      </w:pPr>
    </w:p>
    <w:p w14:paraId="5C658D4B">
      <w:pPr>
        <w:pStyle w:val="27"/>
        <w:rPr>
          <w:rFonts w:hint="eastAsia" w:ascii="宋体" w:hAnsi="宋体"/>
          <w:color w:val="auto"/>
          <w:szCs w:val="24"/>
          <w:highlight w:val="none"/>
        </w:rPr>
      </w:pPr>
    </w:p>
    <w:p w14:paraId="250E464A">
      <w:pPr>
        <w:pStyle w:val="27"/>
        <w:rPr>
          <w:rFonts w:hint="eastAsia" w:ascii="宋体" w:hAnsi="宋体"/>
          <w:color w:val="auto"/>
          <w:szCs w:val="24"/>
          <w:highlight w:val="none"/>
        </w:rPr>
      </w:pPr>
    </w:p>
    <w:p w14:paraId="44F7D778">
      <w:pPr>
        <w:pStyle w:val="27"/>
        <w:rPr>
          <w:rFonts w:hint="eastAsia" w:ascii="宋体" w:hAnsi="宋体"/>
          <w:color w:val="auto"/>
          <w:szCs w:val="24"/>
          <w:highlight w:val="none"/>
        </w:rPr>
      </w:pPr>
    </w:p>
    <w:p w14:paraId="6B2AAC82">
      <w:pPr>
        <w:pStyle w:val="27"/>
        <w:rPr>
          <w:rFonts w:hint="eastAsia" w:ascii="宋体" w:hAnsi="宋体"/>
          <w:color w:val="auto"/>
          <w:szCs w:val="24"/>
          <w:highlight w:val="none"/>
        </w:rPr>
      </w:pPr>
    </w:p>
    <w:p w14:paraId="7D07F3C6">
      <w:pPr>
        <w:pStyle w:val="27"/>
        <w:rPr>
          <w:rFonts w:hint="eastAsia" w:ascii="宋体" w:hAnsi="宋体"/>
          <w:color w:val="auto"/>
          <w:szCs w:val="24"/>
          <w:highlight w:val="none"/>
        </w:rPr>
      </w:pPr>
    </w:p>
    <w:p w14:paraId="2EFB2343">
      <w:pPr>
        <w:pStyle w:val="27"/>
        <w:rPr>
          <w:rFonts w:hint="eastAsia" w:ascii="宋体" w:hAnsi="宋体"/>
          <w:color w:val="auto"/>
          <w:szCs w:val="24"/>
          <w:highlight w:val="none"/>
        </w:rPr>
      </w:pPr>
    </w:p>
    <w:p w14:paraId="55D59893">
      <w:pPr>
        <w:pStyle w:val="27"/>
        <w:rPr>
          <w:rFonts w:hint="eastAsia" w:ascii="宋体" w:hAnsi="宋体"/>
          <w:color w:val="auto"/>
          <w:szCs w:val="24"/>
          <w:highlight w:val="none"/>
        </w:rPr>
      </w:pPr>
    </w:p>
    <w:p w14:paraId="2B84859B">
      <w:pPr>
        <w:pStyle w:val="27"/>
        <w:rPr>
          <w:rFonts w:hint="eastAsia" w:ascii="宋体" w:hAnsi="宋体"/>
          <w:color w:val="auto"/>
          <w:szCs w:val="24"/>
          <w:highlight w:val="none"/>
        </w:rPr>
      </w:pPr>
    </w:p>
    <w:p w14:paraId="375F8FDD">
      <w:pPr>
        <w:pStyle w:val="27"/>
        <w:rPr>
          <w:rFonts w:hint="eastAsia" w:ascii="宋体" w:hAnsi="宋体"/>
          <w:color w:val="auto"/>
          <w:szCs w:val="24"/>
          <w:highlight w:val="none"/>
        </w:rPr>
      </w:pPr>
    </w:p>
    <w:p w14:paraId="04107E16">
      <w:pPr>
        <w:pStyle w:val="27"/>
        <w:rPr>
          <w:rFonts w:hint="eastAsia" w:ascii="宋体" w:hAnsi="宋体"/>
          <w:color w:val="auto"/>
          <w:szCs w:val="24"/>
          <w:highlight w:val="none"/>
        </w:rPr>
      </w:pPr>
    </w:p>
    <w:p w14:paraId="7471BCBE">
      <w:pPr>
        <w:pStyle w:val="6"/>
        <w:spacing w:line="360" w:lineRule="auto"/>
        <w:jc w:val="center"/>
        <w:rPr>
          <w:rFonts w:hint="eastAsia" w:ascii="宋体" w:hAnsi="宋体"/>
          <w:color w:val="auto"/>
          <w:szCs w:val="24"/>
          <w:highlight w:val="none"/>
        </w:rPr>
      </w:pPr>
    </w:p>
    <w:p w14:paraId="794C3816">
      <w:pPr>
        <w:pStyle w:val="6"/>
        <w:spacing w:line="360" w:lineRule="auto"/>
        <w:jc w:val="center"/>
        <w:rPr>
          <w:rFonts w:hint="eastAsia" w:ascii="宋体" w:hAnsi="宋体"/>
          <w:color w:val="auto"/>
          <w:szCs w:val="24"/>
          <w:highlight w:val="none"/>
        </w:rPr>
      </w:pPr>
    </w:p>
    <w:p w14:paraId="6EDE76D4">
      <w:pPr>
        <w:pStyle w:val="6"/>
        <w:spacing w:line="360" w:lineRule="auto"/>
        <w:jc w:val="center"/>
        <w:rPr>
          <w:rFonts w:ascii="宋体" w:hAnsi="宋体"/>
          <w:color w:val="auto"/>
          <w:szCs w:val="24"/>
          <w:highlight w:val="none"/>
        </w:rPr>
      </w:pPr>
      <w:r>
        <w:rPr>
          <w:rFonts w:hint="eastAsia" w:ascii="宋体" w:hAnsi="宋体"/>
          <w:color w:val="auto"/>
          <w:szCs w:val="24"/>
          <w:highlight w:val="none"/>
        </w:rPr>
        <w:t>第三部分 专用条款</w:t>
      </w:r>
      <w:bookmarkEnd w:id="421"/>
      <w:bookmarkEnd w:id="422"/>
    </w:p>
    <w:p w14:paraId="7EB9D204">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23" w:name="_Toc72846887"/>
      <w:bookmarkStart w:id="424" w:name="_Toc72846736"/>
      <w:r>
        <w:rPr>
          <w:rFonts w:hint="eastAsia" w:ascii="宋体" w:hAnsi="宋体"/>
          <w:b/>
          <w:bCs/>
          <w:color w:val="auto"/>
          <w:spacing w:val="6"/>
          <w:szCs w:val="24"/>
          <w:highlight w:val="none"/>
        </w:rPr>
        <w:t>一、词语定义及合同文件</w:t>
      </w:r>
      <w:bookmarkEnd w:id="423"/>
      <w:bookmarkEnd w:id="424"/>
    </w:p>
    <w:p w14:paraId="16ADD805">
      <w:pPr>
        <w:autoSpaceDE w:val="0"/>
        <w:autoSpaceDN w:val="0"/>
        <w:adjustRightInd w:val="0"/>
        <w:spacing w:line="360" w:lineRule="auto"/>
        <w:ind w:firstLine="480" w:firstLineChars="20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第1条</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合同文件组成及解释顺序：</w:t>
      </w:r>
      <w:r>
        <w:rPr>
          <w:rFonts w:hint="eastAsia" w:ascii="宋体" w:hAnsi="宋体"/>
          <w:color w:val="auto"/>
          <w:kern w:val="0"/>
          <w:sz w:val="24"/>
          <w:szCs w:val="24"/>
          <w:highlight w:val="none"/>
          <w:u w:val="single"/>
        </w:rPr>
        <w:t xml:space="preserve"> 按照通用条款执行。  </w:t>
      </w:r>
    </w:p>
    <w:p w14:paraId="51388995">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第2条</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适用法律和法规</w:t>
      </w:r>
    </w:p>
    <w:p w14:paraId="3772124B">
      <w:pPr>
        <w:spacing w:line="360" w:lineRule="auto"/>
        <w:ind w:firstLine="480" w:firstLineChars="200"/>
        <w:rPr>
          <w:rFonts w:hint="eastAsia" w:ascii="宋体" w:hAnsi="宋体"/>
          <w:color w:val="auto"/>
          <w:sz w:val="24"/>
          <w:szCs w:val="24"/>
          <w:highlight w:val="none"/>
        </w:rPr>
      </w:pPr>
      <w:bookmarkStart w:id="425" w:name="_Toc51264614"/>
      <w:r>
        <w:rPr>
          <w:rFonts w:hint="eastAsia" w:ascii="宋体" w:hAnsi="宋体"/>
          <w:sz w:val="24"/>
          <w:highlight w:val="none"/>
        </w:rPr>
        <w:t>合同双方需要明示的法律、行政法规、地方性法规： 《中华人民共和国民法典》、《中华人民共和</w:t>
      </w:r>
      <w:r>
        <w:rPr>
          <w:rFonts w:hint="eastAsia" w:ascii="宋体" w:hAnsi="宋体"/>
          <w:sz w:val="24"/>
          <w:highlight w:val="none"/>
          <w:lang w:val="en-US" w:eastAsia="zh-CN"/>
        </w:rPr>
        <w:t>国矿山安全法</w:t>
      </w:r>
      <w:r>
        <w:rPr>
          <w:rFonts w:hint="eastAsia" w:ascii="宋体" w:hAnsi="宋体"/>
          <w:sz w:val="24"/>
          <w:highlight w:val="none"/>
        </w:rPr>
        <w:t>》、《中华人民共和国招标投标法》、《建设工程质量管理条例》、《保障农民工工资支付条例》、《关于印发建筑工人实名制管理办法（试行）的通知（建市〔2019〕18号）》、《建筑工程施工发包与承包违法行为认定查处管理办法（建市规〔2019〕1号）》、《必须招标的工程项目规定》及现行有关法律法规。</w:t>
      </w:r>
      <w:bookmarkEnd w:id="425"/>
    </w:p>
    <w:p w14:paraId="45C3A461">
      <w:pPr>
        <w:autoSpaceDE w:val="0"/>
        <w:autoSpaceDN w:val="0"/>
        <w:adjustRightIn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本工程质量标准以现行国家、省市或行业有关建筑工程施工及验收规范、建筑工程质量检查评定标准和设计图纸、说明文件为依据，主要执行的技术规范和工程质量标准如下：</w:t>
      </w:r>
    </w:p>
    <w:p w14:paraId="054B90F0">
      <w:pPr>
        <w:autoSpaceDE w:val="0"/>
        <w:autoSpaceDN w:val="0"/>
        <w:adjustRightInd w:val="0"/>
        <w:spacing w:line="360" w:lineRule="auto"/>
        <w:ind w:firstLine="480" w:firstLineChars="200"/>
        <w:jc w:val="left"/>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一、国家标准</w:t>
      </w:r>
    </w:p>
    <w:p w14:paraId="026BD117">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（1）《企业职工伤亡事故分类》（GB6441-86）；</w:t>
      </w:r>
    </w:p>
    <w:p w14:paraId="38DDC3C9">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（2）《建筑抗震设防分类标准》（GB50223-2008）；</w:t>
      </w:r>
    </w:p>
    <w:p w14:paraId="3CB5B074">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（3）《选矿安全规程》(GB18152-2000)；</w:t>
      </w:r>
    </w:p>
    <w:p w14:paraId="0E2D01DF">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（4）《矿山安全标志》（GB/T14161－2008）；</w:t>
      </w:r>
    </w:p>
    <w:p w14:paraId="54FCB4D5">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（5）《生产过程安全卫生要求总则》（GB/T12801-2008）；</w:t>
      </w:r>
    </w:p>
    <w:p w14:paraId="5B5A61FF">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（6）《岩土工程勘察规范》（GB50021-2001，2009 年版）；</w:t>
      </w:r>
    </w:p>
    <w:p w14:paraId="420E936C">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（7）《混凝土结构设计规范》（GB50010-2010）；</w:t>
      </w:r>
    </w:p>
    <w:p w14:paraId="72F8567F">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（8）《建筑物防雷设计规范》（GB50057-2010）。</w:t>
      </w:r>
    </w:p>
    <w:p w14:paraId="29958F5B">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（9）《建筑结构荷载规范》（GB50009-2012）；</w:t>
      </w:r>
    </w:p>
    <w:p w14:paraId="299FB328">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（10）《构筑物抗震设计规范》（GB 50191-2012）；</w:t>
      </w:r>
    </w:p>
    <w:p w14:paraId="76D67DF9">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（11）《尾矿设施设计规范》（GB50863-2013）；</w:t>
      </w:r>
    </w:p>
    <w:p w14:paraId="0C12AE8A">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（12）《防洪标准》（GB50201—2014）；</w:t>
      </w:r>
    </w:p>
    <w:p w14:paraId="6C3C41B2">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（13）《中国地震动参数区划图》（GB18306—2015）；</w:t>
      </w:r>
    </w:p>
    <w:p w14:paraId="5C47D53B">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（14）《危险化学品重大危险源辨识》（GB18218-2018）；</w:t>
      </w:r>
    </w:p>
    <w:p w14:paraId="1CE2051D">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（15）《水工建筑物抗震设计标准》（GB51247-2018）；</w:t>
      </w:r>
    </w:p>
    <w:p w14:paraId="5E06336E">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（16）《金属非金属矿山安全规程》（GB16423－2020）；</w:t>
      </w:r>
    </w:p>
    <w:p w14:paraId="7F6BACA5">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（17）《生产经营单位生产安全事故应急预案编制导则》（GB/T29639－2020）；</w:t>
      </w:r>
    </w:p>
    <w:p w14:paraId="6663FC36">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（18）《尾矿库安全规程》（GB39496-2020）；</w:t>
      </w:r>
    </w:p>
    <w:p w14:paraId="0A7D9666">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（19）《个体防护装备配备规范 第 1 部分：总则》（GB39800.1－2020）；</w:t>
      </w:r>
    </w:p>
    <w:p w14:paraId="73EBCCBD">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（20）《个体防护装备配备规范 第 4 部分：非煤矿山》（GB39800.4－2020）；</w:t>
      </w:r>
    </w:p>
    <w:p w14:paraId="1E0335D5">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（21）《矿山电力设计标准》（GB50070－2020）；</w:t>
      </w:r>
    </w:p>
    <w:p w14:paraId="521A7221">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（22）《尾矿堆积坝岩土工程技术标准》（GB50547-2022）；</w:t>
      </w:r>
    </w:p>
    <w:p w14:paraId="44CE0C2C">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（23）《尾矿库在线安全监测系统工程技术规范》（GB51108-2015）；</w:t>
      </w:r>
    </w:p>
    <w:p w14:paraId="7B4A4AE6">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（24）《尾矿设施施工及验收规范》（GB50846-2013）；</w:t>
      </w:r>
    </w:p>
    <w:p w14:paraId="6C3E96E5">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（25）《污水综合排放标准》（GB8978-1996）；</w:t>
      </w:r>
    </w:p>
    <w:p w14:paraId="407629D8">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（26）《一般工业固体废物贮存和填埋污染控制标准》（GB18599-2020）；</w:t>
      </w:r>
    </w:p>
    <w:p w14:paraId="60E1F834">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（27）《金属矿山土地复垦工程设计标准》（GB51411-2020）；</w:t>
      </w:r>
    </w:p>
    <w:p w14:paraId="56E31CC8">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（28）《尾矿堆积坝排渗加固工程技术规范》（GB51118-2015）；</w:t>
      </w:r>
    </w:p>
    <w:p w14:paraId="1DC99786">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（29）《安全标志及其使用导则》（GB 2894-2008）；</w:t>
      </w:r>
    </w:p>
    <w:p w14:paraId="383577BA">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（30）《安全色》（GB 2893-2008）。</w:t>
      </w:r>
    </w:p>
    <w:p w14:paraId="08DCBEB4">
      <w:pPr>
        <w:widowControl/>
        <w:spacing w:line="360" w:lineRule="auto"/>
        <w:ind w:firstLine="480" w:firstLineChars="200"/>
        <w:jc w:val="left"/>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二、行业标准</w:t>
      </w:r>
    </w:p>
    <w:p w14:paraId="3B34E944">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（1）《噪声作业分级》（LD80－1995）；</w:t>
      </w:r>
    </w:p>
    <w:p w14:paraId="1206B80A">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（2）《矿用产品安全标志标识》（AQ1043-2007）；</w:t>
      </w:r>
    </w:p>
    <w:p w14:paraId="05F3ED90">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（3）《水工混凝土结构设计规范》（SL191-2008）；</w:t>
      </w:r>
    </w:p>
    <w:p w14:paraId="20593CD3">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（4）《尾矿库安全监测技术规程》（AQ2030-2010）；</w:t>
      </w:r>
    </w:p>
    <w:p w14:paraId="47732050">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（5）《碾压式土石坝施工规范》（DL/T5129-2013）</w:t>
      </w:r>
    </w:p>
    <w:p w14:paraId="6F6BBCF5">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（6）《金属非金属矿山安全标准化规范 导则》（KA/T2050.1-2016）；</w:t>
      </w:r>
    </w:p>
    <w:p w14:paraId="6628995B">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（7）《金属非金属矿山安全标准化规范 尾矿库实施指南》（KA/T2050.4-2016）；</w:t>
      </w:r>
    </w:p>
    <w:p w14:paraId="1E21533E">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（8）《碾压式土石坝设计规范》（SL274-2020）；</w:t>
      </w:r>
    </w:p>
    <w:p w14:paraId="598F2141">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（9）《非煤矿山建设项目安全设施设计编写提纲第 6 部分：尾矿库闭库项目安全设施设计编写提纲》（KA/T 20.6-2024）</w:t>
      </w:r>
    </w:p>
    <w:p w14:paraId="307619C3">
      <w:pPr>
        <w:widowControl/>
        <w:spacing w:line="360" w:lineRule="auto"/>
        <w:ind w:firstLine="480" w:firstLineChars="200"/>
        <w:jc w:val="left"/>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三、其他依据</w:t>
      </w:r>
    </w:p>
    <w:p w14:paraId="368A2E3D">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（1）浙江巨化化工矿业有限公司提供的尾矿库 1:1000 现状地形图；</w:t>
      </w:r>
    </w:p>
    <w:p w14:paraId="488553DA">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（2）《衢化公司龙游黄铁矿灵山矿区初步设计》（化学工业部化工矿山设计研究院，1992 年 7 月）；</w:t>
      </w:r>
    </w:p>
    <w:p w14:paraId="6B7F0251">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（3）《浙江巨化化工矿业有限公司后塘弄尾矿库施工图设计》（长沙有色冶金设</w:t>
      </w:r>
    </w:p>
    <w:p w14:paraId="3E3C10EC">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计研究院，1997 年 10 月）；</w:t>
      </w:r>
    </w:p>
    <w:p w14:paraId="5726B958">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（4）《后塘弄尾矿库综合治理工程岩土工程勘察报告》（中蓝连海设计研究院</w:t>
      </w:r>
      <w:r>
        <w:rPr>
          <w:rFonts w:hint="eastAsia" w:ascii="宋体" w:hAnsi="宋体"/>
          <w:color w:val="auto"/>
          <w:sz w:val="24"/>
          <w:szCs w:val="24"/>
          <w:highlight w:val="none"/>
          <w:lang w:val="en-US" w:eastAsia="zh-CN"/>
        </w:rPr>
        <w:t>，</w:t>
      </w:r>
      <w:r>
        <w:rPr>
          <w:rFonts w:hint="default" w:ascii="宋体" w:hAnsi="宋体"/>
          <w:color w:val="auto"/>
          <w:sz w:val="24"/>
          <w:szCs w:val="24"/>
          <w:highlight w:val="none"/>
          <w:lang w:val="en-US" w:eastAsia="zh-CN"/>
        </w:rPr>
        <w:t>2015 年 10 月）；</w:t>
      </w:r>
    </w:p>
    <w:p w14:paraId="48AD889D">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（5）《浙江巨化化工矿业有限公司后塘弄尾矿库综合治理工程安全设施设计》（长沙有色冶金设计研究院有限公司，2016 年 4 月）；</w:t>
      </w:r>
    </w:p>
    <w:p w14:paraId="136C7CE2">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（6）《浙江巨化化工矿业有限公司后塘弄尾矿库改造升级工程方案设计》（长沙有色冶金设计研究院有限公司，2019 年 5 月）；</w:t>
      </w:r>
    </w:p>
    <w:p w14:paraId="15C338E9">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（7）《浙江巨化化工矿业有限公司后塘弄尾矿库现状评价报告》（浙江兴达安全科技有限公司，2021 年 11 月）；</w:t>
      </w:r>
    </w:p>
    <w:p w14:paraId="743B9DAB">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（8）《浙江巨化化工矿业有限公司尾矿库排水系统检测报告》（衢州建工建材检测有限公司，2021 年 5 月 28 日）；</w:t>
      </w:r>
    </w:p>
    <w:p w14:paraId="519C163B">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（9）《浙江巨化化工矿业有限公司后塘弄尾矿库 2023 年度调洪演算复核》（长沙有色冶金设计研究院有限公司，2023 年 4 月）；</w:t>
      </w:r>
    </w:p>
    <w:p w14:paraId="3285E73F">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（10）《浙江巨化化工矿业有限公司后塘弄尾矿库坝体岩土工程勘察勘察报告》（浙江有色勘测规划设计有限公司，2023 年 7 月）；</w:t>
      </w:r>
    </w:p>
    <w:p w14:paraId="7BB65BCB">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（11）《浙江巨化化工矿业有限公司后塘弄尾矿库坝体稳定性分析评估报告》</w:t>
      </w:r>
    </w:p>
    <w:p w14:paraId="19562C59">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（浙江安环安全科技有限公司，2023 年 7 月）；</w:t>
      </w:r>
    </w:p>
    <w:p w14:paraId="117577BE">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（12）《浙江巨化化工矿业有限公司后塘弄尾矿库 2024 年度调洪演算复核》（长沙有色冶金设计研究院有限公司，2024 年 3 月）；</w:t>
      </w:r>
    </w:p>
    <w:p w14:paraId="4A5DF1E9">
      <w:pPr>
        <w:widowControl/>
        <w:spacing w:line="360" w:lineRule="auto"/>
        <w:ind w:firstLine="480" w:firstLineChars="200"/>
        <w:jc w:val="left"/>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（13）设计人员现场踏勘时收集及业主提供的相关基础、技术资料等。</w:t>
      </w:r>
    </w:p>
    <w:p w14:paraId="0011E49E">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26" w:name="_Toc72846888"/>
      <w:bookmarkStart w:id="427" w:name="_Toc72846737"/>
      <w:r>
        <w:rPr>
          <w:rFonts w:hint="eastAsia" w:ascii="宋体" w:hAnsi="宋体"/>
          <w:b/>
          <w:bCs/>
          <w:color w:val="auto"/>
          <w:spacing w:val="6"/>
          <w:szCs w:val="24"/>
          <w:highlight w:val="none"/>
        </w:rPr>
        <w:t>二、双方一般责任</w:t>
      </w:r>
      <w:bookmarkEnd w:id="426"/>
      <w:bookmarkEnd w:id="427"/>
    </w:p>
    <w:p w14:paraId="37A2C480">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1</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甲方工作</w:t>
      </w:r>
    </w:p>
    <w:p w14:paraId="5CE078D5">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s="宋体"/>
          <w:color w:val="auto"/>
          <w:sz w:val="24"/>
          <w:szCs w:val="24"/>
          <w:highlight w:val="none"/>
        </w:rPr>
        <w:t>.施工场地具备施工条件；</w:t>
      </w:r>
    </w:p>
    <w:p w14:paraId="31F6B571">
      <w:pPr>
        <w:spacing w:line="360" w:lineRule="auto"/>
        <w:ind w:firstLine="480" w:firstLineChars="200"/>
        <w:rPr>
          <w:rFonts w:hint="eastAsia" w:ascii="宋体" w:hAnsi="宋体" w:cs="宋体"/>
          <w:color w:val="auto"/>
          <w:sz w:val="24"/>
          <w:szCs w:val="24"/>
          <w:highlight w:val="none"/>
          <w:lang w:val="zh-CN"/>
        </w:rPr>
      </w:pPr>
      <w:r>
        <w:rPr>
          <w:rFonts w:ascii="宋体" w:hAnsi="宋体"/>
          <w:color w:val="auto"/>
          <w:sz w:val="24"/>
          <w:szCs w:val="24"/>
          <w:highlight w:val="none"/>
        </w:rPr>
        <w:t>2</w:t>
      </w:r>
      <w:r>
        <w:rPr>
          <w:rFonts w:hint="eastAsia" w:ascii="宋体" w:hAnsi="宋体" w:cs="宋体"/>
          <w:color w:val="auto"/>
          <w:sz w:val="24"/>
          <w:szCs w:val="24"/>
          <w:highlight w:val="none"/>
        </w:rPr>
        <w:t>.</w:t>
      </w:r>
      <w:r>
        <w:rPr>
          <w:rFonts w:hint="eastAsia" w:ascii="宋体" w:hAnsi="宋体" w:cs="宋体"/>
          <w:color w:val="auto"/>
          <w:kern w:val="28"/>
          <w:sz w:val="24"/>
          <w:szCs w:val="24"/>
          <w:highlight w:val="none"/>
          <w:lang w:val="zh-CN"/>
        </w:rPr>
        <w:t>施工现场所需的临时用电、</w:t>
      </w:r>
      <w:r>
        <w:rPr>
          <w:rFonts w:ascii="宋体" w:hAnsi="宋体" w:cs="宋体"/>
          <w:color w:val="auto"/>
          <w:kern w:val="28"/>
          <w:sz w:val="24"/>
          <w:szCs w:val="24"/>
          <w:highlight w:val="none"/>
          <w:lang w:val="zh-CN"/>
        </w:rPr>
        <w:t>用水</w:t>
      </w:r>
      <w:r>
        <w:rPr>
          <w:rFonts w:hint="eastAsia" w:ascii="宋体" w:hAnsi="宋体" w:cs="宋体"/>
          <w:color w:val="auto"/>
          <w:kern w:val="28"/>
          <w:sz w:val="24"/>
          <w:szCs w:val="24"/>
          <w:highlight w:val="none"/>
          <w:lang w:val="zh-CN"/>
        </w:rPr>
        <w:t>由</w:t>
      </w:r>
      <w:r>
        <w:rPr>
          <w:rFonts w:hint="eastAsia" w:ascii="宋体" w:hAnsi="宋体" w:cs="宋体"/>
          <w:color w:val="auto"/>
          <w:sz w:val="24"/>
          <w:szCs w:val="24"/>
          <w:highlight w:val="none"/>
          <w:lang w:val="zh-CN"/>
        </w:rPr>
        <w:t>甲方指定接口地点，乙方负责安装计量、维护与使用，按工程进度</w:t>
      </w:r>
      <w:r>
        <w:rPr>
          <w:rFonts w:ascii="宋体" w:hAnsi="宋体" w:cs="宋体"/>
          <w:color w:val="auto"/>
          <w:sz w:val="24"/>
          <w:szCs w:val="24"/>
          <w:highlight w:val="none"/>
          <w:lang w:val="zh-CN"/>
        </w:rPr>
        <w:t>每月</w:t>
      </w:r>
      <w:r>
        <w:rPr>
          <w:rFonts w:hint="eastAsia" w:ascii="宋体" w:hAnsi="宋体" w:cs="宋体"/>
          <w:color w:val="auto"/>
          <w:sz w:val="24"/>
          <w:szCs w:val="24"/>
          <w:highlight w:val="none"/>
          <w:lang w:val="zh-CN"/>
        </w:rPr>
        <w:t>据实结算。</w:t>
      </w:r>
    </w:p>
    <w:p w14:paraId="218BB043">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3.开工前双方技术人员和监理现场交验并以书面的形式明确。将</w:t>
      </w:r>
      <w:r>
        <w:rPr>
          <w:rFonts w:hint="eastAsia"/>
          <w:color w:val="auto"/>
          <w:sz w:val="24"/>
          <w:szCs w:val="24"/>
          <w:highlight w:val="none"/>
        </w:rPr>
        <w:t>工程坐标</w:t>
      </w:r>
      <w:r>
        <w:rPr>
          <w:rFonts w:hint="eastAsia" w:ascii="宋体" w:hAnsi="宋体"/>
          <w:color w:val="auto"/>
          <w:sz w:val="24"/>
          <w:szCs w:val="24"/>
          <w:highlight w:val="none"/>
        </w:rPr>
        <w:t>控制点以书面形式交给乙方，并进行现场交验；</w:t>
      </w:r>
    </w:p>
    <w:p w14:paraId="6D4ED265">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olor w:val="auto"/>
          <w:sz w:val="24"/>
          <w:szCs w:val="24"/>
          <w:highlight w:val="none"/>
        </w:rPr>
        <w:t>甲方有权对乙方的整个施工过程和安全生产管理工作进行监督，必要时有权对乙方进行处罚或终止合同，</w:t>
      </w:r>
      <w:r>
        <w:rPr>
          <w:rFonts w:ascii="宋体" w:hAnsi="宋体"/>
          <w:color w:val="auto"/>
          <w:sz w:val="24"/>
          <w:szCs w:val="24"/>
          <w:highlight w:val="none"/>
        </w:rPr>
        <w:t>处罚依据为甲方相关管理制度、办法</w:t>
      </w:r>
      <w:r>
        <w:rPr>
          <w:rFonts w:hint="eastAsia" w:ascii="宋体" w:hAnsi="宋体"/>
          <w:color w:val="auto"/>
          <w:sz w:val="24"/>
          <w:szCs w:val="24"/>
          <w:highlight w:val="none"/>
        </w:rPr>
        <w:t>。</w:t>
      </w:r>
    </w:p>
    <w:p w14:paraId="42C342C9">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5</w:t>
      </w:r>
      <w:r>
        <w:rPr>
          <w:rFonts w:hint="eastAsia" w:ascii="宋体" w:hAnsi="宋体"/>
          <w:color w:val="auto"/>
          <w:sz w:val="24"/>
          <w:szCs w:val="24"/>
          <w:highlight w:val="none"/>
        </w:rPr>
        <w:t>.甲方负责提供施工所需图纸及相关技术资料，协助乙方处理外部环境事物。</w:t>
      </w:r>
    </w:p>
    <w:p w14:paraId="1A183729">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6.甲方负责按照合同约定方式及时拨付工程款，保障工程顺利进行。</w:t>
      </w:r>
    </w:p>
    <w:p w14:paraId="3BA7643C">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7.负责协调政府部门与周边关系，保障施工顺利进行。</w:t>
      </w:r>
    </w:p>
    <w:p w14:paraId="6DFA0A07">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8.甲方向乙方提供4套施工图纸。</w:t>
      </w:r>
    </w:p>
    <w:p w14:paraId="2B208CC4">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乙方工作</w:t>
      </w:r>
    </w:p>
    <w:p w14:paraId="0128AA93">
      <w:pPr>
        <w:autoSpaceDE w:val="0"/>
        <w:autoSpaceDN w:val="0"/>
        <w:adjustRightInd w:val="0"/>
        <w:spacing w:line="360" w:lineRule="auto"/>
        <w:ind w:right="-10" w:rightChars="-5" w:firstLine="480" w:firstLineChars="200"/>
        <w:jc w:val="left"/>
        <w:rPr>
          <w:rFonts w:ascii="宋体" w:hAnsi="宋体"/>
          <w:color w:val="auto"/>
          <w:kern w:val="0"/>
          <w:sz w:val="24"/>
          <w:szCs w:val="24"/>
          <w:highlight w:val="none"/>
          <w:u w:val="single"/>
        </w:rPr>
      </w:pPr>
      <w:r>
        <w:rPr>
          <w:rFonts w:hint="eastAsia" w:ascii="宋体" w:hAnsi="宋体"/>
          <w:color w:val="auto"/>
          <w:sz w:val="24"/>
          <w:szCs w:val="24"/>
          <w:highlight w:val="none"/>
        </w:rPr>
        <w:t>1.</w:t>
      </w:r>
      <w:r>
        <w:rPr>
          <w:rFonts w:hint="eastAsia" w:ascii="宋体" w:hAnsi="宋体"/>
          <w:color w:val="auto"/>
          <w:kern w:val="0"/>
          <w:sz w:val="24"/>
          <w:szCs w:val="24"/>
          <w:highlight w:val="none"/>
        </w:rPr>
        <w:t>按要求办理的有关施工场地交通、环卫和施工噪音管理等手续，并</w:t>
      </w:r>
      <w:r>
        <w:rPr>
          <w:rFonts w:ascii="宋体" w:hAnsi="宋体"/>
          <w:color w:val="auto"/>
          <w:kern w:val="0"/>
          <w:sz w:val="24"/>
          <w:szCs w:val="24"/>
          <w:highlight w:val="none"/>
        </w:rPr>
        <w:t>向</w:t>
      </w:r>
      <w:r>
        <w:rPr>
          <w:rFonts w:hint="eastAsia" w:ascii="宋体" w:hAnsi="宋体"/>
          <w:color w:val="auto"/>
          <w:sz w:val="24"/>
          <w:szCs w:val="24"/>
          <w:highlight w:val="none"/>
        </w:rPr>
        <w:t>当地政府相关部门及</w:t>
      </w:r>
      <w:r>
        <w:rPr>
          <w:rFonts w:ascii="宋体" w:hAnsi="宋体"/>
          <w:color w:val="auto"/>
          <w:sz w:val="24"/>
          <w:szCs w:val="24"/>
          <w:highlight w:val="none"/>
        </w:rPr>
        <w:t>甲方</w:t>
      </w:r>
      <w:r>
        <w:rPr>
          <w:rFonts w:hint="eastAsia" w:ascii="宋体" w:hAnsi="宋体"/>
          <w:color w:val="auto"/>
          <w:sz w:val="24"/>
          <w:szCs w:val="24"/>
          <w:highlight w:val="none"/>
        </w:rPr>
        <w:t>要求完成</w:t>
      </w:r>
      <w:r>
        <w:rPr>
          <w:rFonts w:ascii="宋体" w:hAnsi="宋体"/>
          <w:color w:val="auto"/>
          <w:sz w:val="24"/>
          <w:szCs w:val="24"/>
          <w:highlight w:val="none"/>
        </w:rPr>
        <w:t>相关</w:t>
      </w:r>
      <w:r>
        <w:rPr>
          <w:rFonts w:hint="eastAsia" w:ascii="宋体" w:hAnsi="宋体"/>
          <w:color w:val="auto"/>
          <w:sz w:val="24"/>
          <w:szCs w:val="24"/>
          <w:highlight w:val="none"/>
        </w:rPr>
        <w:t>报备手续</w:t>
      </w:r>
      <w:r>
        <w:rPr>
          <w:rFonts w:hint="eastAsia" w:ascii="宋体" w:hAnsi="宋体"/>
          <w:color w:val="auto"/>
          <w:kern w:val="0"/>
          <w:sz w:val="24"/>
          <w:szCs w:val="24"/>
          <w:highlight w:val="none"/>
        </w:rPr>
        <w:t>：执行相关法律法规要求，同时执行通用条款。</w:t>
      </w:r>
    </w:p>
    <w:p w14:paraId="5EF44022">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.开工前对所属员工进行体检并建立职业健康档案，对所属员工缴纳社会工伤保险。</w:t>
      </w:r>
    </w:p>
    <w:p w14:paraId="188BA9E0">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olor w:val="auto"/>
          <w:sz w:val="24"/>
          <w:szCs w:val="24"/>
          <w:highlight w:val="none"/>
        </w:rPr>
        <w:t>.配备充足的安全、生产及技术管理人员、各类特殊工种和生产辅助人员；负责施工组织、施工管理和安全管理；</w:t>
      </w:r>
    </w:p>
    <w:p w14:paraId="6F16B4E0">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4</w:t>
      </w:r>
      <w:r>
        <w:rPr>
          <w:rFonts w:ascii="宋体" w:hAnsi="宋体"/>
          <w:color w:val="auto"/>
          <w:sz w:val="24"/>
          <w:szCs w:val="24"/>
          <w:highlight w:val="none"/>
        </w:rPr>
        <w:t>.</w:t>
      </w:r>
      <w:r>
        <w:rPr>
          <w:rFonts w:hint="eastAsia" w:ascii="宋体" w:hAnsi="宋体"/>
          <w:color w:val="auto"/>
          <w:sz w:val="24"/>
          <w:szCs w:val="24"/>
          <w:highlight w:val="none"/>
        </w:rPr>
        <w:t>施工前向甲方提交施工组织方案。</w:t>
      </w:r>
    </w:p>
    <w:p w14:paraId="46311F92">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5</w:t>
      </w:r>
      <w:r>
        <w:rPr>
          <w:rFonts w:hint="eastAsia" w:ascii="宋体" w:hAnsi="宋体"/>
          <w:color w:val="auto"/>
          <w:sz w:val="24"/>
          <w:szCs w:val="24"/>
          <w:highlight w:val="none"/>
        </w:rPr>
        <w:t>.乙方负责施工所需材料的采购运输，并保证材料质量符合行业标准，达到施工要求。</w:t>
      </w:r>
    </w:p>
    <w:p w14:paraId="0CBEECA1">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6</w:t>
      </w:r>
      <w:r>
        <w:rPr>
          <w:rFonts w:hint="eastAsia" w:ascii="宋体" w:hAnsi="宋体"/>
          <w:color w:val="auto"/>
          <w:sz w:val="24"/>
          <w:szCs w:val="24"/>
          <w:highlight w:val="none"/>
        </w:rPr>
        <w:t>.乙方负责施工产生的所有费用，包括材料款、人员工资、电费、火工产品费用、消耗材料费用、施工设备机械维护保养、生活费用等所有费用。</w:t>
      </w:r>
    </w:p>
    <w:p w14:paraId="69A0F70A">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7</w:t>
      </w:r>
      <w:r>
        <w:rPr>
          <w:rFonts w:hint="eastAsia" w:ascii="宋体" w:hAnsi="宋体"/>
          <w:color w:val="auto"/>
          <w:sz w:val="24"/>
          <w:szCs w:val="24"/>
          <w:highlight w:val="none"/>
        </w:rPr>
        <w:t>.负责合同期内设备、人员、火灾等安全责任，如乙方人员和设备原因的发生任何安全责任事故(即工伤事故或其它人身伤害事故)、施工区与生活区发生火灾事故，乙方承担全部经济责任和法律责任(包含由此影响甲方的经济责任与法律责任)</w:t>
      </w:r>
      <w:r>
        <w:rPr>
          <w:rFonts w:hint="eastAsia" w:ascii="宋体" w:hAnsi="宋体"/>
          <w:color w:val="auto"/>
          <w:sz w:val="24"/>
          <w:szCs w:val="24"/>
          <w:highlight w:val="none"/>
          <w:lang w:eastAsia="zh-CN"/>
        </w:rPr>
        <w:t>，</w:t>
      </w:r>
      <w:r>
        <w:rPr>
          <w:rFonts w:hint="eastAsia" w:ascii="宋体" w:hAnsi="宋体"/>
          <w:color w:val="auto"/>
          <w:sz w:val="24"/>
          <w:szCs w:val="24"/>
          <w:highlight w:val="none"/>
        </w:rPr>
        <w:t>自然灾害与不可抗拒因素除外。</w:t>
      </w:r>
    </w:p>
    <w:p w14:paraId="2D825E9D">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8.</w:t>
      </w:r>
      <w:r>
        <w:rPr>
          <w:rFonts w:hint="eastAsia" w:ascii="宋体" w:hAnsi="宋体"/>
          <w:color w:val="auto"/>
          <w:sz w:val="24"/>
          <w:szCs w:val="24"/>
          <w:highlight w:val="none"/>
        </w:rPr>
        <w:t>乙方负责在每月20日向甲方提供工程报表；若发生质量、安全事故，必须向甲方提供事故报告和解决方案，接受甲方的监督和安全生产指挥。</w:t>
      </w:r>
    </w:p>
    <w:p w14:paraId="25FE161C">
      <w:pPr>
        <w:autoSpaceDE w:val="0"/>
        <w:autoSpaceDN w:val="0"/>
        <w:adjustRightIn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9.乙方负责未交付前所有工程的保护工作。如有损毁，乙方自费予以修复。</w:t>
      </w:r>
    </w:p>
    <w:p w14:paraId="12814FE3">
      <w:pPr>
        <w:widowControl/>
        <w:spacing w:line="360" w:lineRule="auto"/>
        <w:ind w:firstLine="420"/>
        <w:jc w:val="left"/>
        <w:rPr>
          <w:rFonts w:hint="eastAsia" w:ascii="宋体" w:hAnsi="宋体"/>
          <w:b/>
          <w:bCs/>
          <w:color w:val="auto"/>
          <w:sz w:val="24"/>
          <w:szCs w:val="24"/>
          <w:highlight w:val="none"/>
        </w:rPr>
      </w:pPr>
      <w:r>
        <w:rPr>
          <w:rFonts w:hint="eastAsia" w:ascii="宋体" w:hAnsi="宋体"/>
          <w:b/>
          <w:bCs/>
          <w:color w:val="auto"/>
          <w:sz w:val="24"/>
          <w:szCs w:val="24"/>
          <w:highlight w:val="none"/>
        </w:rPr>
        <w:t>第3条 乙方项目经理</w:t>
      </w:r>
    </w:p>
    <w:p w14:paraId="3F101469">
      <w:pPr>
        <w:widowControl/>
        <w:spacing w:line="360" w:lineRule="auto"/>
        <w:ind w:firstLine="420"/>
        <w:jc w:val="left"/>
        <w:rPr>
          <w:rFonts w:hint="eastAsia"/>
          <w:color w:val="auto"/>
          <w:sz w:val="24"/>
          <w:szCs w:val="24"/>
          <w:highlight w:val="none"/>
        </w:rPr>
      </w:pPr>
      <w:r>
        <w:rPr>
          <w:rFonts w:hint="eastAsia"/>
          <w:color w:val="auto"/>
          <w:sz w:val="24"/>
          <w:szCs w:val="24"/>
          <w:highlight w:val="none"/>
        </w:rPr>
        <w:t>1.乙方项目经理姓名：</w:t>
      </w:r>
      <w:r>
        <w:rPr>
          <w:rFonts w:hint="eastAsia"/>
          <w:color w:val="auto"/>
          <w:sz w:val="24"/>
          <w:szCs w:val="24"/>
          <w:highlight w:val="none"/>
          <w:u w:val="single"/>
        </w:rPr>
        <w:t xml:space="preserve">                                </w:t>
      </w:r>
      <w:r>
        <w:rPr>
          <w:rFonts w:hint="eastAsia"/>
          <w:color w:val="auto"/>
          <w:sz w:val="24"/>
          <w:szCs w:val="24"/>
          <w:highlight w:val="none"/>
        </w:rPr>
        <w:t>；</w:t>
      </w:r>
    </w:p>
    <w:p w14:paraId="7363901E">
      <w:pPr>
        <w:widowControl/>
        <w:spacing w:line="360" w:lineRule="auto"/>
        <w:jc w:val="left"/>
        <w:rPr>
          <w:rFonts w:ascii="宋体" w:hAnsi="宋体"/>
          <w:color w:val="auto"/>
          <w:sz w:val="24"/>
          <w:szCs w:val="24"/>
          <w:highlight w:val="none"/>
        </w:rPr>
      </w:pPr>
      <w:r>
        <w:rPr>
          <w:rFonts w:hint="eastAsia"/>
          <w:color w:val="auto"/>
          <w:sz w:val="24"/>
          <w:szCs w:val="24"/>
          <w:highlight w:val="none"/>
        </w:rPr>
        <w:t xml:space="preserve">   </w:t>
      </w:r>
      <w:r>
        <w:rPr>
          <w:rFonts w:hint="eastAsia" w:ascii="宋体" w:hAnsi="宋体"/>
          <w:color w:val="auto"/>
          <w:sz w:val="24"/>
          <w:szCs w:val="24"/>
          <w:highlight w:val="none"/>
        </w:rPr>
        <w:t xml:space="preserve"> 执业资格或职称类型：</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 xml:space="preserve">   </w:t>
      </w:r>
      <w:r>
        <w:rPr>
          <w:rFonts w:ascii="宋体" w:hAnsi="宋体"/>
          <w:color w:val="auto"/>
          <w:sz w:val="24"/>
          <w:szCs w:val="24"/>
          <w:highlight w:val="none"/>
          <w:u w:val="single"/>
        </w:rPr>
        <w:t xml:space="preserve">                  </w:t>
      </w:r>
      <w:r>
        <w:rPr>
          <w:rFonts w:hint="eastAsia" w:ascii="宋体" w:hAnsi="宋体"/>
          <w:color w:val="auto"/>
          <w:sz w:val="24"/>
          <w:szCs w:val="24"/>
          <w:highlight w:val="none"/>
        </w:rPr>
        <w:t>；</w:t>
      </w:r>
    </w:p>
    <w:p w14:paraId="7E68A493">
      <w:pPr>
        <w:widowControl/>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执业资格证或职称证号码：</w:t>
      </w:r>
      <w:r>
        <w:rPr>
          <w:rFonts w:ascii="宋体" w:hAnsi="宋体"/>
          <w:color w:val="auto"/>
          <w:sz w:val="24"/>
          <w:szCs w:val="24"/>
          <w:highlight w:val="none"/>
          <w:u w:val="single"/>
        </w:rPr>
        <w:t xml:space="preserve">                          </w:t>
      </w:r>
      <w:r>
        <w:rPr>
          <w:rFonts w:hint="eastAsia" w:ascii="宋体" w:hAnsi="宋体"/>
          <w:color w:val="auto"/>
          <w:sz w:val="24"/>
          <w:szCs w:val="24"/>
          <w:highlight w:val="none"/>
        </w:rPr>
        <w:t>；</w:t>
      </w:r>
    </w:p>
    <w:p w14:paraId="34D9051F">
      <w:pPr>
        <w:widowControl/>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联系电话：</w:t>
      </w:r>
      <w:r>
        <w:rPr>
          <w:rFonts w:ascii="宋体" w:hAnsi="宋体"/>
          <w:color w:val="auto"/>
          <w:sz w:val="24"/>
          <w:szCs w:val="24"/>
          <w:highlight w:val="none"/>
          <w:u w:val="single"/>
        </w:rPr>
        <w:t xml:space="preserve">                                        </w:t>
      </w:r>
      <w:r>
        <w:rPr>
          <w:rFonts w:hint="eastAsia" w:ascii="宋体" w:hAnsi="宋体"/>
          <w:color w:val="auto"/>
          <w:sz w:val="24"/>
          <w:szCs w:val="24"/>
          <w:highlight w:val="none"/>
        </w:rPr>
        <w:t>；</w:t>
      </w:r>
    </w:p>
    <w:p w14:paraId="2A265826">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电子邮箱：</w:t>
      </w:r>
      <w:r>
        <w:rPr>
          <w:rFonts w:ascii="宋体" w:hAnsi="宋体"/>
          <w:color w:val="auto"/>
          <w:sz w:val="24"/>
          <w:szCs w:val="24"/>
          <w:highlight w:val="none"/>
          <w:u w:val="single"/>
        </w:rPr>
        <w:t xml:space="preserve">                                        </w:t>
      </w:r>
      <w:r>
        <w:rPr>
          <w:rFonts w:hint="eastAsia" w:ascii="宋体" w:hAnsi="宋体"/>
          <w:color w:val="auto"/>
          <w:sz w:val="24"/>
          <w:szCs w:val="24"/>
          <w:highlight w:val="none"/>
        </w:rPr>
        <w:t>。</w:t>
      </w:r>
    </w:p>
    <w:p w14:paraId="763B8497">
      <w:pPr>
        <w:widowControl/>
        <w:spacing w:line="360" w:lineRule="auto"/>
        <w:jc w:val="left"/>
        <w:rPr>
          <w:rFonts w:hint="eastAsia" w:ascii="宋体" w:hAnsi="宋体"/>
          <w:color w:val="auto"/>
          <w:sz w:val="24"/>
          <w:szCs w:val="24"/>
          <w:highlight w:val="none"/>
        </w:rPr>
      </w:pPr>
      <w:r>
        <w:rPr>
          <w:rFonts w:hint="eastAsia"/>
          <w:color w:val="auto"/>
          <w:sz w:val="24"/>
          <w:szCs w:val="24"/>
          <w:highlight w:val="none"/>
        </w:rPr>
        <w:t xml:space="preserve">   </w:t>
      </w:r>
      <w:r>
        <w:rPr>
          <w:rFonts w:hint="eastAsia" w:ascii="宋体" w:hAnsi="宋体"/>
          <w:color w:val="auto"/>
          <w:sz w:val="24"/>
          <w:szCs w:val="24"/>
          <w:highlight w:val="none"/>
        </w:rPr>
        <w:t xml:space="preserve"> </w:t>
      </w:r>
      <w:r>
        <w:rPr>
          <w:rFonts w:hint="eastAsia"/>
          <w:color w:val="auto"/>
          <w:sz w:val="24"/>
          <w:szCs w:val="24"/>
          <w:highlight w:val="none"/>
        </w:rPr>
        <w:t>2．项目</w:t>
      </w:r>
      <w:r>
        <w:rPr>
          <w:rFonts w:hint="eastAsia" w:ascii="宋体" w:hAnsi="宋体"/>
          <w:color w:val="auto"/>
          <w:sz w:val="24"/>
          <w:szCs w:val="24"/>
          <w:highlight w:val="none"/>
        </w:rPr>
        <w:t>经理每月在现场时间需≥2</w:t>
      </w:r>
      <w:r>
        <w:rPr>
          <w:rFonts w:ascii="宋体" w:hAnsi="宋体"/>
          <w:color w:val="auto"/>
          <w:sz w:val="24"/>
          <w:szCs w:val="24"/>
          <w:highlight w:val="none"/>
        </w:rPr>
        <w:t>2</w:t>
      </w:r>
      <w:r>
        <w:rPr>
          <w:rFonts w:hint="eastAsia" w:ascii="宋体" w:hAnsi="宋体"/>
          <w:color w:val="auto"/>
          <w:sz w:val="24"/>
          <w:szCs w:val="24"/>
          <w:highlight w:val="none"/>
        </w:rPr>
        <w:t>日历日。</w:t>
      </w:r>
    </w:p>
    <w:p w14:paraId="0C1E56DB">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28" w:name="_Toc72846738"/>
      <w:bookmarkStart w:id="429" w:name="_Toc72846889"/>
      <w:r>
        <w:rPr>
          <w:rFonts w:hint="eastAsia" w:ascii="宋体" w:hAnsi="宋体"/>
          <w:b/>
          <w:bCs/>
          <w:color w:val="auto"/>
          <w:spacing w:val="6"/>
          <w:szCs w:val="24"/>
          <w:highlight w:val="none"/>
        </w:rPr>
        <w:t>三、施工组织设计</w:t>
      </w:r>
      <w:bookmarkEnd w:id="428"/>
      <w:bookmarkEnd w:id="429"/>
    </w:p>
    <w:p w14:paraId="28AA7658">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第9条  进度计划</w:t>
      </w:r>
    </w:p>
    <w:p w14:paraId="0F61CA72">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按通用条款执行。</w:t>
      </w:r>
    </w:p>
    <w:p w14:paraId="543FD3DD">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30" w:name="_Toc72846890"/>
      <w:bookmarkStart w:id="431" w:name="_Toc72846739"/>
      <w:r>
        <w:rPr>
          <w:rFonts w:hint="eastAsia" w:ascii="宋体" w:hAnsi="宋体"/>
          <w:b/>
          <w:bCs/>
          <w:color w:val="auto"/>
          <w:spacing w:val="6"/>
          <w:szCs w:val="24"/>
          <w:highlight w:val="none"/>
        </w:rPr>
        <w:t>四、材料供应</w:t>
      </w:r>
      <w:bookmarkEnd w:id="430"/>
      <w:bookmarkEnd w:id="431"/>
    </w:p>
    <w:p w14:paraId="1AC103F6">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第</w:t>
      </w:r>
      <w:r>
        <w:rPr>
          <w:rFonts w:ascii="宋体" w:hAnsi="宋体" w:cs="宋体"/>
          <w:b/>
          <w:bCs/>
          <w:color w:val="auto"/>
          <w:sz w:val="24"/>
          <w:szCs w:val="24"/>
          <w:highlight w:val="none"/>
        </w:rPr>
        <w:t>13</w:t>
      </w:r>
      <w:r>
        <w:rPr>
          <w:rFonts w:hint="eastAsia" w:ascii="宋体" w:hAnsi="宋体" w:cs="宋体"/>
          <w:b/>
          <w:bCs/>
          <w:color w:val="auto"/>
          <w:sz w:val="24"/>
          <w:szCs w:val="24"/>
          <w:highlight w:val="none"/>
        </w:rPr>
        <w:t>条  材料供应</w:t>
      </w:r>
    </w:p>
    <w:p w14:paraId="52E78BE6">
      <w:pPr>
        <w:autoSpaceDE w:val="0"/>
        <w:autoSpaceDN w:val="0"/>
        <w:adjustRightInd w:val="0"/>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kern w:val="0"/>
          <w:sz w:val="24"/>
          <w:szCs w:val="24"/>
          <w:highlight w:val="none"/>
        </w:rPr>
        <w:t>详见《专用</w:t>
      </w:r>
      <w:r>
        <w:rPr>
          <w:rFonts w:ascii="宋体" w:hAnsi="宋体"/>
          <w:color w:val="auto"/>
          <w:kern w:val="0"/>
          <w:sz w:val="24"/>
          <w:szCs w:val="24"/>
          <w:highlight w:val="none"/>
        </w:rPr>
        <w:t>条款</w:t>
      </w:r>
      <w:r>
        <w:rPr>
          <w:rFonts w:hint="eastAsia" w:ascii="宋体" w:hAnsi="宋体"/>
          <w:color w:val="auto"/>
          <w:kern w:val="0"/>
          <w:sz w:val="24"/>
          <w:szCs w:val="24"/>
          <w:highlight w:val="none"/>
        </w:rPr>
        <w:t>》第</w:t>
      </w:r>
      <w:r>
        <w:rPr>
          <w:rFonts w:ascii="宋体" w:hAnsi="宋体"/>
          <w:color w:val="auto"/>
          <w:kern w:val="0"/>
          <w:sz w:val="24"/>
          <w:szCs w:val="24"/>
          <w:highlight w:val="none"/>
        </w:rPr>
        <w:t>18</w:t>
      </w:r>
      <w:r>
        <w:rPr>
          <w:rFonts w:hint="eastAsia" w:ascii="宋体" w:hAnsi="宋体"/>
          <w:color w:val="auto"/>
          <w:kern w:val="0"/>
          <w:sz w:val="24"/>
          <w:szCs w:val="24"/>
          <w:highlight w:val="none"/>
        </w:rPr>
        <w:t>条</w:t>
      </w:r>
      <w:r>
        <w:rPr>
          <w:rFonts w:ascii="宋体" w:hAnsi="宋体"/>
          <w:color w:val="auto"/>
          <w:kern w:val="0"/>
          <w:sz w:val="24"/>
          <w:szCs w:val="24"/>
          <w:highlight w:val="none"/>
        </w:rPr>
        <w:t>中</w:t>
      </w:r>
      <w:r>
        <w:rPr>
          <w:rFonts w:hint="eastAsia" w:ascii="宋体" w:hAnsi="宋体"/>
          <w:color w:val="auto"/>
          <w:kern w:val="0"/>
          <w:sz w:val="24"/>
          <w:szCs w:val="24"/>
          <w:highlight w:val="none"/>
        </w:rPr>
        <w:t>《工程量</w:t>
      </w:r>
      <w:r>
        <w:rPr>
          <w:rFonts w:ascii="宋体" w:hAnsi="宋体"/>
          <w:color w:val="auto"/>
          <w:kern w:val="0"/>
          <w:sz w:val="24"/>
          <w:szCs w:val="24"/>
          <w:highlight w:val="none"/>
        </w:rPr>
        <w:t>与单价一览表</w:t>
      </w:r>
      <w:r>
        <w:rPr>
          <w:rFonts w:hint="eastAsia" w:ascii="宋体" w:hAnsi="宋体"/>
          <w:color w:val="auto"/>
          <w:kern w:val="0"/>
          <w:sz w:val="24"/>
          <w:szCs w:val="24"/>
          <w:highlight w:val="none"/>
        </w:rPr>
        <w:t>》相关</w:t>
      </w:r>
      <w:r>
        <w:rPr>
          <w:rFonts w:ascii="宋体" w:hAnsi="宋体"/>
          <w:color w:val="auto"/>
          <w:kern w:val="0"/>
          <w:sz w:val="24"/>
          <w:szCs w:val="24"/>
          <w:highlight w:val="none"/>
        </w:rPr>
        <w:t>描述</w:t>
      </w:r>
      <w:r>
        <w:rPr>
          <w:rFonts w:hint="eastAsia" w:ascii="宋体" w:hAnsi="宋体"/>
          <w:color w:val="auto"/>
          <w:kern w:val="0"/>
          <w:sz w:val="24"/>
          <w:szCs w:val="24"/>
          <w:highlight w:val="none"/>
        </w:rPr>
        <w:t>，</w:t>
      </w:r>
      <w:r>
        <w:rPr>
          <w:rFonts w:hint="eastAsia" w:ascii="宋体" w:hAnsi="宋体"/>
          <w:color w:val="auto"/>
          <w:sz w:val="24"/>
          <w:szCs w:val="24"/>
          <w:highlight w:val="none"/>
        </w:rPr>
        <w:t>具体约定按通用条款执行。</w:t>
      </w:r>
    </w:p>
    <w:p w14:paraId="0EFB602F">
      <w:pPr>
        <w:widowControl/>
        <w:spacing w:line="360" w:lineRule="auto"/>
        <w:jc w:val="left"/>
        <w:rPr>
          <w:rFonts w:ascii="宋体" w:hAnsi="宋体"/>
          <w:color w:val="auto"/>
          <w:sz w:val="24"/>
          <w:szCs w:val="24"/>
          <w:highlight w:val="none"/>
        </w:rPr>
      </w:pPr>
      <w:r>
        <w:rPr>
          <w:rFonts w:hint="eastAsia"/>
          <w:color w:val="auto"/>
          <w:sz w:val="24"/>
          <w:szCs w:val="24"/>
          <w:highlight w:val="none"/>
        </w:rPr>
        <w:t xml:space="preserve">    </w:t>
      </w:r>
      <w:r>
        <w:rPr>
          <w:rFonts w:hint="eastAsia" w:ascii="宋体" w:hAnsi="宋体"/>
          <w:color w:val="auto"/>
          <w:sz w:val="24"/>
          <w:szCs w:val="24"/>
          <w:highlight w:val="none"/>
        </w:rPr>
        <w:t>甲方提供的材料和设备经验收合格后，由乙方负责接收、运输和保管。</w:t>
      </w:r>
    </w:p>
    <w:p w14:paraId="36175C42">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32" w:name="_Toc72846891"/>
      <w:bookmarkStart w:id="433" w:name="_Toc72846740"/>
      <w:r>
        <w:rPr>
          <w:rFonts w:hint="eastAsia" w:ascii="宋体" w:hAnsi="宋体"/>
          <w:b/>
          <w:bCs/>
          <w:color w:val="auto"/>
          <w:spacing w:val="6"/>
          <w:szCs w:val="24"/>
          <w:highlight w:val="none"/>
        </w:rPr>
        <w:t>五、质量与验收</w:t>
      </w:r>
      <w:bookmarkEnd w:id="432"/>
      <w:bookmarkEnd w:id="433"/>
    </w:p>
    <w:p w14:paraId="2717C811">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第</w:t>
      </w:r>
      <w:r>
        <w:rPr>
          <w:rFonts w:ascii="宋体" w:hAnsi="宋体" w:cs="宋体"/>
          <w:b/>
          <w:bCs/>
          <w:color w:val="auto"/>
          <w:sz w:val="24"/>
          <w:szCs w:val="24"/>
          <w:highlight w:val="none"/>
        </w:rPr>
        <w:t>14</w:t>
      </w:r>
      <w:r>
        <w:rPr>
          <w:rFonts w:hint="eastAsia" w:ascii="宋体" w:hAnsi="宋体" w:cs="宋体"/>
          <w:b/>
          <w:bCs/>
          <w:color w:val="auto"/>
          <w:sz w:val="24"/>
          <w:szCs w:val="24"/>
          <w:highlight w:val="none"/>
        </w:rPr>
        <w:t>条　工程质量</w:t>
      </w:r>
    </w:p>
    <w:p w14:paraId="4E24FFB3">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sz w:val="24"/>
          <w:szCs w:val="24"/>
          <w:highlight w:val="none"/>
        </w:rPr>
        <w:t>1.</w:t>
      </w:r>
      <w:r>
        <w:rPr>
          <w:rFonts w:hint="eastAsia" w:ascii="宋体" w:hAnsi="宋体"/>
          <w:color w:val="auto"/>
          <w:kern w:val="0"/>
          <w:sz w:val="24"/>
          <w:szCs w:val="24"/>
          <w:highlight w:val="none"/>
        </w:rPr>
        <w:t>质量验收标准：</w:t>
      </w:r>
      <w:r>
        <w:rPr>
          <w:rFonts w:hint="eastAsia" w:ascii="宋体" w:hAnsi="宋体"/>
          <w:color w:val="auto"/>
          <w:sz w:val="24"/>
          <w:szCs w:val="24"/>
          <w:highlight w:val="none"/>
        </w:rPr>
        <w:t>一次性验合格率为100%</w:t>
      </w:r>
      <w:r>
        <w:rPr>
          <w:rFonts w:hint="eastAsia" w:ascii="宋体" w:hAnsi="宋体"/>
          <w:color w:val="auto"/>
          <w:kern w:val="0"/>
          <w:sz w:val="24"/>
          <w:szCs w:val="24"/>
          <w:highlight w:val="none"/>
        </w:rPr>
        <w:t>；若达不到一次性验收合格，承包方需在发包方规定的整改期限内限期整改。</w:t>
      </w:r>
    </w:p>
    <w:p w14:paraId="4F63AFB7">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.其它按通用条款执行。</w:t>
      </w:r>
    </w:p>
    <w:p w14:paraId="107E8D58">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第</w:t>
      </w:r>
      <w:r>
        <w:rPr>
          <w:rFonts w:ascii="宋体" w:hAnsi="宋体" w:cs="宋体"/>
          <w:b/>
          <w:bCs/>
          <w:color w:val="auto"/>
          <w:sz w:val="24"/>
          <w:szCs w:val="24"/>
          <w:highlight w:val="none"/>
        </w:rPr>
        <w:t>15</w:t>
      </w:r>
      <w:r>
        <w:rPr>
          <w:rFonts w:hint="eastAsia" w:ascii="宋体" w:hAnsi="宋体" w:cs="宋体"/>
          <w:b/>
          <w:bCs/>
          <w:color w:val="auto"/>
          <w:sz w:val="24"/>
          <w:szCs w:val="24"/>
          <w:highlight w:val="none"/>
        </w:rPr>
        <w:t xml:space="preserve">条 </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检查和返工</w:t>
      </w:r>
    </w:p>
    <w:p w14:paraId="7DAB2BFB">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若因</w:t>
      </w:r>
      <w:r>
        <w:rPr>
          <w:rFonts w:ascii="宋体" w:hAnsi="宋体"/>
          <w:color w:val="auto"/>
          <w:sz w:val="24"/>
          <w:szCs w:val="24"/>
          <w:highlight w:val="none"/>
        </w:rPr>
        <w:t>乙方</w:t>
      </w:r>
      <w:r>
        <w:rPr>
          <w:rFonts w:hint="eastAsia" w:ascii="宋体" w:hAnsi="宋体"/>
          <w:color w:val="auto"/>
          <w:sz w:val="24"/>
          <w:szCs w:val="24"/>
          <w:highlight w:val="none"/>
        </w:rPr>
        <w:t>原因造成的质量事故，由乙方承担因质量事故造成的所有返修、返工、重做等费用损失（包括业主方的费用损失）及工期损失。</w:t>
      </w:r>
    </w:p>
    <w:p w14:paraId="093683AA">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.其它按通用条款执行。</w:t>
      </w:r>
    </w:p>
    <w:p w14:paraId="5BC7083B">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16</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隐蔽工程和中间验收、重新检验</w:t>
      </w:r>
    </w:p>
    <w:p w14:paraId="3345C0D1">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工程隐蔽部位经监理人检查质量不合格的，乙方在监理人指示的时间内完成修复，并由监理人重新检查，由此增加的费用和(或) 延误的工期由乙方承担。</w:t>
      </w:r>
    </w:p>
    <w:p w14:paraId="52C6EFD5">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2.</w:t>
      </w:r>
      <w:r>
        <w:rPr>
          <w:rFonts w:hint="eastAsia" w:ascii="宋体" w:hAnsi="宋体"/>
          <w:color w:val="auto"/>
          <w:sz w:val="24"/>
          <w:szCs w:val="24"/>
          <w:highlight w:val="none"/>
        </w:rPr>
        <w:t>乙方覆盖工程隐蔽部位后，业主或监理人对质量有疑问的，要求对已覆盖的部位进行钻孔探测或揭开重新检查，乙方将遵照执行，并在检查后重新覆盖恢复原状。经检查证明工程质量不符合合同要求的，由此增加的费用和(或) 延误的工期由乙方承担。</w:t>
      </w:r>
    </w:p>
    <w:p w14:paraId="0BA532C6">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olor w:val="auto"/>
          <w:sz w:val="24"/>
          <w:szCs w:val="24"/>
          <w:highlight w:val="none"/>
        </w:rPr>
        <w:t>若乙方未通知监理人到场检查，私自将工程隐蔽部位覆盖的，监理人指示乙方钻孔探测或揭开检查，无论工程隐蔽部位质量是否合格，由此增加的费用和(或) 延误的工期均由乙方承担。</w:t>
      </w:r>
    </w:p>
    <w:p w14:paraId="31B4F6A8">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olor w:val="auto"/>
          <w:sz w:val="24"/>
          <w:szCs w:val="24"/>
          <w:highlight w:val="none"/>
        </w:rPr>
        <w:t>双方对工程质量有争议的，由双方协商确定的工程质量检测机构鉴定，若因乙方原因由此产生的费用及因此造成的损失，由乙方承担。合同当事人均有责任的，由双方根据其责任分别承担。</w:t>
      </w:r>
    </w:p>
    <w:p w14:paraId="0717E4D1">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5</w:t>
      </w:r>
      <w:r>
        <w:rPr>
          <w:rFonts w:hint="eastAsia" w:ascii="宋体" w:hAnsi="宋体"/>
          <w:color w:val="auto"/>
          <w:sz w:val="24"/>
          <w:szCs w:val="24"/>
          <w:highlight w:val="none"/>
        </w:rPr>
        <w:t>.其它按通用条款执行。</w:t>
      </w:r>
    </w:p>
    <w:p w14:paraId="5495AA03">
      <w:pPr>
        <w:spacing w:line="360" w:lineRule="auto"/>
        <w:ind w:firstLine="482" w:firstLineChars="200"/>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1</w:t>
      </w:r>
      <w:r>
        <w:rPr>
          <w:rFonts w:ascii="宋体" w:hAnsi="宋体"/>
          <w:b/>
          <w:bCs/>
          <w:color w:val="auto"/>
          <w:sz w:val="24"/>
          <w:szCs w:val="24"/>
          <w:highlight w:val="none"/>
        </w:rPr>
        <w:t>7</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验收</w:t>
      </w:r>
    </w:p>
    <w:p w14:paraId="185F1B5E">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按通用条款执行。</w:t>
      </w:r>
    </w:p>
    <w:p w14:paraId="6640EFAC">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34" w:name="_Toc72846741"/>
      <w:bookmarkStart w:id="435" w:name="_Toc72846892"/>
      <w:r>
        <w:rPr>
          <w:rFonts w:hint="eastAsia" w:ascii="宋体" w:hAnsi="宋体"/>
          <w:b/>
          <w:bCs/>
          <w:color w:val="auto"/>
          <w:spacing w:val="6"/>
          <w:szCs w:val="24"/>
          <w:highlight w:val="none"/>
        </w:rPr>
        <w:t>六、合同价款支付与</w:t>
      </w:r>
      <w:r>
        <w:rPr>
          <w:rFonts w:ascii="宋体" w:hAnsi="宋体"/>
          <w:b/>
          <w:bCs/>
          <w:color w:val="auto"/>
          <w:spacing w:val="6"/>
          <w:szCs w:val="24"/>
          <w:highlight w:val="none"/>
        </w:rPr>
        <w:t>调整</w:t>
      </w:r>
      <w:bookmarkEnd w:id="434"/>
      <w:bookmarkEnd w:id="435"/>
    </w:p>
    <w:p w14:paraId="193361CE">
      <w:pPr>
        <w:spacing w:line="360"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第</w:t>
      </w:r>
      <w:r>
        <w:rPr>
          <w:rFonts w:ascii="宋体" w:hAnsi="宋体" w:cs="宋体"/>
          <w:b/>
          <w:bCs/>
          <w:color w:val="auto"/>
          <w:sz w:val="24"/>
          <w:szCs w:val="24"/>
          <w:highlight w:val="none"/>
        </w:rPr>
        <w:t>18</w:t>
      </w:r>
      <w:r>
        <w:rPr>
          <w:rFonts w:hint="eastAsia" w:ascii="宋体" w:hAnsi="宋体" w:cs="宋体"/>
          <w:b/>
          <w:bCs/>
          <w:color w:val="auto"/>
          <w:sz w:val="24"/>
          <w:szCs w:val="24"/>
          <w:highlight w:val="none"/>
        </w:rPr>
        <w:t>条  合同价款</w:t>
      </w:r>
      <w:r>
        <w:rPr>
          <w:rFonts w:ascii="宋体" w:hAnsi="宋体" w:cs="宋体"/>
          <w:b/>
          <w:bCs/>
          <w:color w:val="auto"/>
          <w:sz w:val="24"/>
          <w:szCs w:val="24"/>
          <w:highlight w:val="none"/>
        </w:rPr>
        <w:t>与支付</w:t>
      </w:r>
    </w:p>
    <w:p w14:paraId="63AC7007">
      <w:pPr>
        <w:autoSpaceDE w:val="0"/>
        <w:autoSpaceDN w:val="0"/>
        <w:adjustRightInd w:val="0"/>
        <w:spacing w:line="360" w:lineRule="auto"/>
        <w:ind w:firstLine="482" w:firstLineChars="200"/>
        <w:jc w:val="left"/>
        <w:rPr>
          <w:rFonts w:ascii="宋体" w:hAnsi="宋体"/>
          <w:b/>
          <w:bCs/>
          <w:color w:val="auto"/>
          <w:kern w:val="0"/>
          <w:sz w:val="24"/>
          <w:szCs w:val="24"/>
          <w:highlight w:val="none"/>
        </w:rPr>
      </w:pPr>
      <w:r>
        <w:rPr>
          <w:rFonts w:ascii="宋体" w:hAnsi="宋体"/>
          <w:b/>
          <w:bCs/>
          <w:color w:val="auto"/>
          <w:kern w:val="0"/>
          <w:sz w:val="24"/>
          <w:szCs w:val="24"/>
          <w:highlight w:val="none"/>
        </w:rPr>
        <w:t>1.</w:t>
      </w:r>
      <w:r>
        <w:rPr>
          <w:rFonts w:hint="eastAsia" w:ascii="宋体" w:hAnsi="宋体"/>
          <w:b/>
          <w:bCs/>
          <w:color w:val="auto"/>
          <w:kern w:val="0"/>
          <w:sz w:val="24"/>
          <w:szCs w:val="24"/>
          <w:highlight w:val="none"/>
        </w:rPr>
        <w:t>合同价款及调整</w:t>
      </w:r>
    </w:p>
    <w:p w14:paraId="46CAA6B8">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（1）本合同价款为固定综合单价合同。</w:t>
      </w:r>
    </w:p>
    <w:p w14:paraId="64B2B42A">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rPr>
        <w:t>市场价格波动引起的调整</w:t>
      </w:r>
    </w:p>
    <w:p w14:paraId="25DBF3C0">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市场价格波动是否调整合同价格的约定：                 。</w:t>
      </w:r>
    </w:p>
    <w:p w14:paraId="292D2E5A">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因市场价格波动调整合同价格，采用以下第    种方式对合同价格进行调整：</w:t>
      </w:r>
    </w:p>
    <w:p w14:paraId="6797D91E">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第1种方式：采用价格指数进行价格调整。</w:t>
      </w:r>
    </w:p>
    <w:p w14:paraId="03E4BE30">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关于各可调因子、定值和变值权重，以及基本价格指数及其来源的约定</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 xml:space="preserve">；  </w:t>
      </w:r>
    </w:p>
    <w:p w14:paraId="429B35FB">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第2种方式：采用造价信息进行价格调整。</w:t>
      </w:r>
    </w:p>
    <w:p w14:paraId="798FD4F8">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w:t>
      </w:r>
      <w:r>
        <w:rPr>
          <w:rFonts w:hint="eastAsia" w:ascii="宋体" w:hAnsi="宋体"/>
          <w:color w:val="auto"/>
          <w:kern w:val="0"/>
          <w:sz w:val="24"/>
          <w:szCs w:val="24"/>
          <w:highlight w:val="none"/>
          <w:lang w:val="en-US" w:eastAsia="zh-CN"/>
        </w:rPr>
        <w:t>3</w:t>
      </w:r>
      <w:r>
        <w:rPr>
          <w:rFonts w:hint="eastAsia" w:ascii="宋体" w:hAnsi="宋体"/>
          <w:color w:val="auto"/>
          <w:kern w:val="0"/>
          <w:sz w:val="24"/>
          <w:szCs w:val="24"/>
          <w:highlight w:val="none"/>
        </w:rPr>
        <w:t>）关于基准价格的约定：                         。</w:t>
      </w:r>
    </w:p>
    <w:p w14:paraId="69EC527A">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专用合同条款①承包人在已标价工程量清单或预算书中载明的材料单价低于基准价格的：专用合同条款合同履行期间材料单价涨幅以基准价格为基础超过</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5</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%时，或材料单价跌幅以已标价工程量清单或预算书中载明材料单价为基础超过</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5</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%时，其超过部分据实调整。</w:t>
      </w:r>
    </w:p>
    <w:p w14:paraId="64FF4F59">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②承包人在已标价工程量清单或预算书中载明的材料单价高于基准价格的：专用合同条款合同履行期间材料单价跌幅以基准价格为基础超过</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5</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%时，材料单价涨幅以已标价工程量清单或预算书中载明材料单价为基础超过</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5</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%时，其超过部分据实调整。</w:t>
      </w:r>
    </w:p>
    <w:p w14:paraId="383C1226">
      <w:pPr>
        <w:autoSpaceDE w:val="0"/>
        <w:autoSpaceDN w:val="0"/>
        <w:adjustRightInd w:val="0"/>
        <w:spacing w:line="360" w:lineRule="auto"/>
        <w:ind w:firstLine="360" w:firstLineChars="150"/>
        <w:rPr>
          <w:rFonts w:hint="eastAsia" w:ascii="宋体" w:hAnsi="宋体"/>
          <w:color w:val="auto"/>
          <w:kern w:val="0"/>
          <w:sz w:val="24"/>
          <w:szCs w:val="24"/>
          <w:highlight w:val="none"/>
        </w:rPr>
      </w:pPr>
      <w:r>
        <w:rPr>
          <w:rFonts w:hint="eastAsia" w:ascii="宋体" w:hAnsi="宋体"/>
          <w:color w:val="auto"/>
          <w:kern w:val="0"/>
          <w:sz w:val="24"/>
          <w:szCs w:val="24"/>
          <w:highlight w:val="none"/>
        </w:rPr>
        <w:t>③承包人在已标价工程量清单或预算书中载明的材料单价等于基准单价的：专用合同条款合同履行期间材料单价涨跌幅以基准单价为基础超过±   %时，其超过部分据实调整。</w:t>
      </w:r>
    </w:p>
    <w:p w14:paraId="47F84098">
      <w:pPr>
        <w:autoSpaceDE w:val="0"/>
        <w:autoSpaceDN w:val="0"/>
        <w:adjustRightInd w:val="0"/>
        <w:spacing w:line="360" w:lineRule="auto"/>
        <w:ind w:firstLine="480" w:firstLineChars="200"/>
        <w:rPr>
          <w:rFonts w:hint="eastAsia" w:ascii="宋体" w:hAnsi="宋体"/>
          <w:color w:val="auto"/>
          <w:kern w:val="0"/>
          <w:sz w:val="24"/>
          <w:szCs w:val="24"/>
          <w:highlight w:val="none"/>
          <w:u w:val="single"/>
        </w:rPr>
      </w:pPr>
      <w:r>
        <w:rPr>
          <w:rFonts w:hint="eastAsia" w:ascii="宋体" w:hAnsi="宋体"/>
          <w:color w:val="auto"/>
          <w:kern w:val="0"/>
          <w:sz w:val="24"/>
          <w:szCs w:val="24"/>
          <w:highlight w:val="none"/>
        </w:rPr>
        <w:t>第3种方式：其他价格调整方式：</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 xml:space="preserve">                     </w:t>
      </w:r>
      <w:r>
        <w:rPr>
          <w:rFonts w:hint="eastAsia" w:ascii="宋体" w:hAnsi="宋体"/>
          <w:color w:val="auto"/>
          <w:kern w:val="0"/>
          <w:sz w:val="24"/>
          <w:szCs w:val="24"/>
          <w:highlight w:val="none"/>
          <w:u w:val="single"/>
        </w:rPr>
        <w:t xml:space="preserve">      </w:t>
      </w:r>
    </w:p>
    <w:p w14:paraId="74207003">
      <w:pPr>
        <w:autoSpaceDE w:val="0"/>
        <w:autoSpaceDN w:val="0"/>
        <w:adjustRightInd w:val="0"/>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u w:val="single"/>
          <w:lang w:val="en-US" w:eastAsia="zh-CN"/>
        </w:rPr>
        <w:t xml:space="preserve"> </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w:t>
      </w:r>
    </w:p>
    <w:p w14:paraId="24F0D9A8">
      <w:pPr>
        <w:autoSpaceDE w:val="0"/>
        <w:autoSpaceDN w:val="0"/>
        <w:adjustRightInd w:val="0"/>
        <w:spacing w:line="360" w:lineRule="auto"/>
        <w:ind w:firstLine="602" w:firstLineChars="250"/>
        <w:jc w:val="left"/>
        <w:rPr>
          <w:rFonts w:ascii="宋体" w:hAnsi="宋体"/>
          <w:b/>
          <w:bCs/>
          <w:color w:val="auto"/>
          <w:kern w:val="0"/>
          <w:sz w:val="24"/>
          <w:szCs w:val="24"/>
          <w:highlight w:val="none"/>
        </w:rPr>
      </w:pPr>
      <w:r>
        <w:rPr>
          <w:rFonts w:ascii="宋体" w:hAnsi="宋体"/>
          <w:b/>
          <w:bCs/>
          <w:color w:val="auto"/>
          <w:kern w:val="0"/>
          <w:sz w:val="24"/>
          <w:szCs w:val="24"/>
          <w:highlight w:val="none"/>
        </w:rPr>
        <w:t>2.</w:t>
      </w:r>
      <w:r>
        <w:rPr>
          <w:rFonts w:hint="eastAsia" w:ascii="宋体" w:hAnsi="宋体"/>
          <w:b/>
          <w:bCs/>
          <w:color w:val="auto"/>
          <w:kern w:val="0"/>
          <w:sz w:val="24"/>
          <w:szCs w:val="24"/>
          <w:highlight w:val="none"/>
        </w:rPr>
        <w:t>工程款支付：</w:t>
      </w:r>
    </w:p>
    <w:p w14:paraId="3D5C4E9C">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（1）工程</w:t>
      </w:r>
      <w:r>
        <w:rPr>
          <w:rFonts w:ascii="宋体" w:hAnsi="宋体"/>
          <w:color w:val="auto"/>
          <w:kern w:val="0"/>
          <w:sz w:val="24"/>
          <w:szCs w:val="24"/>
          <w:highlight w:val="none"/>
        </w:rPr>
        <w:t>预付款：</w:t>
      </w:r>
      <w:r>
        <w:rPr>
          <w:rFonts w:hint="eastAsia" w:ascii="宋体" w:hAnsi="宋体"/>
          <w:color w:val="auto"/>
          <w:kern w:val="0"/>
          <w:sz w:val="24"/>
          <w:szCs w:val="24"/>
          <w:highlight w:val="none"/>
          <w:u w:val="single"/>
        </w:rPr>
        <w:t>无。</w:t>
      </w:r>
    </w:p>
    <w:p w14:paraId="30FE12E2">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（2）工程进度款支付：</w:t>
      </w:r>
    </w:p>
    <w:p w14:paraId="56005093">
      <w:pPr>
        <w:autoSpaceDE w:val="0"/>
        <w:autoSpaceDN w:val="0"/>
        <w:adjustRightInd w:val="0"/>
        <w:spacing w:line="360" w:lineRule="auto"/>
        <w:ind w:firstLine="480" w:firstLineChars="200"/>
        <w:jc w:val="left"/>
        <w:rPr>
          <w:color w:val="auto"/>
          <w:sz w:val="24"/>
          <w:szCs w:val="24"/>
          <w:highlight w:val="none"/>
          <w:u w:val="single"/>
        </w:rPr>
      </w:pPr>
      <w:r>
        <w:rPr>
          <w:rFonts w:hint="eastAsia"/>
          <w:color w:val="auto"/>
          <w:sz w:val="24"/>
          <w:szCs w:val="24"/>
          <w:highlight w:val="none"/>
          <w:u w:val="single"/>
        </w:rPr>
        <w:t>①</w:t>
      </w:r>
      <w:r>
        <w:rPr>
          <w:rFonts w:hint="eastAsia" w:ascii="宋体" w:hAnsi="宋体" w:cs="宋体"/>
          <w:color w:val="auto"/>
          <w:kern w:val="0"/>
          <w:sz w:val="24"/>
          <w:szCs w:val="24"/>
          <w:highlight w:val="none"/>
          <w:u w:val="single"/>
        </w:rPr>
        <w:t>按月支付进度款，承包人每月上报完成工程量；经监理审核后，由</w:t>
      </w:r>
      <w:r>
        <w:rPr>
          <w:rFonts w:hint="eastAsia"/>
          <w:color w:val="auto"/>
          <w:sz w:val="24"/>
          <w:szCs w:val="24"/>
          <w:highlight w:val="none"/>
          <w:u w:val="single"/>
        </w:rPr>
        <w:t>甲方</w:t>
      </w:r>
      <w:r>
        <w:rPr>
          <w:color w:val="auto"/>
          <w:sz w:val="24"/>
          <w:szCs w:val="24"/>
          <w:highlight w:val="none"/>
          <w:u w:val="single"/>
        </w:rPr>
        <w:t>按照</w:t>
      </w:r>
      <w:r>
        <w:rPr>
          <w:rFonts w:hint="eastAsia"/>
          <w:color w:val="auto"/>
          <w:sz w:val="24"/>
          <w:szCs w:val="24"/>
          <w:highlight w:val="none"/>
          <w:u w:val="single"/>
        </w:rPr>
        <w:t>相关验收规定，</w:t>
      </w:r>
      <w:r>
        <w:rPr>
          <w:color w:val="auto"/>
          <w:sz w:val="24"/>
          <w:szCs w:val="24"/>
          <w:highlight w:val="none"/>
          <w:u w:val="single"/>
        </w:rPr>
        <w:t>以达到要求的实际测量验收的</w:t>
      </w:r>
      <w:r>
        <w:rPr>
          <w:rFonts w:hint="eastAsia"/>
          <w:color w:val="auto"/>
          <w:sz w:val="24"/>
          <w:szCs w:val="24"/>
          <w:highlight w:val="none"/>
          <w:u w:val="single"/>
        </w:rPr>
        <w:t>工程量</w:t>
      </w:r>
      <w:r>
        <w:rPr>
          <w:color w:val="auto"/>
          <w:sz w:val="24"/>
          <w:szCs w:val="24"/>
          <w:highlight w:val="none"/>
          <w:u w:val="single"/>
        </w:rPr>
        <w:t>对应本合同的工程单价</w:t>
      </w:r>
      <w:r>
        <w:rPr>
          <w:rFonts w:hint="eastAsia"/>
          <w:color w:val="auto"/>
          <w:sz w:val="24"/>
          <w:szCs w:val="24"/>
          <w:highlight w:val="none"/>
          <w:u w:val="single"/>
        </w:rPr>
        <w:t>，支付工程款；甲方于次月内</w:t>
      </w:r>
      <w:r>
        <w:rPr>
          <w:rFonts w:hint="eastAsia" w:ascii="Times New Roman"/>
          <w:color w:val="auto"/>
          <w:sz w:val="24"/>
          <w:szCs w:val="24"/>
          <w:highlight w:val="none"/>
          <w:u w:val="single"/>
        </w:rPr>
        <w:t>支付当月审定完成工程量进度款的</w:t>
      </w:r>
      <w:r>
        <w:rPr>
          <w:rFonts w:ascii="Times New Roman"/>
          <w:color w:val="auto"/>
          <w:sz w:val="24"/>
          <w:szCs w:val="24"/>
          <w:highlight w:val="none"/>
          <w:u w:val="single"/>
        </w:rPr>
        <w:t>8</w:t>
      </w:r>
      <w:r>
        <w:rPr>
          <w:rFonts w:hint="eastAsia" w:ascii="Times New Roman"/>
          <w:color w:val="auto"/>
          <w:sz w:val="24"/>
          <w:szCs w:val="24"/>
          <w:highlight w:val="none"/>
          <w:u w:val="single"/>
        </w:rPr>
        <w:t>0%</w:t>
      </w:r>
      <w:r>
        <w:rPr>
          <w:rFonts w:ascii="Times New Roman"/>
          <w:color w:val="auto"/>
          <w:sz w:val="24"/>
          <w:szCs w:val="24"/>
          <w:highlight w:val="none"/>
          <w:u w:val="single"/>
        </w:rPr>
        <w:t xml:space="preserve"> </w:t>
      </w:r>
      <w:r>
        <w:rPr>
          <w:rFonts w:hint="eastAsia" w:ascii="Times New Roman"/>
          <w:color w:val="auto"/>
          <w:sz w:val="24"/>
          <w:szCs w:val="24"/>
          <w:highlight w:val="none"/>
          <w:u w:val="single"/>
        </w:rPr>
        <w:t>。</w:t>
      </w:r>
      <w:r>
        <w:rPr>
          <w:rFonts w:hint="eastAsia"/>
          <w:color w:val="auto"/>
          <w:sz w:val="24"/>
          <w:szCs w:val="24"/>
          <w:highlight w:val="none"/>
          <w:u w:val="single"/>
        </w:rPr>
        <w:t>乙方开具进度款增值税专用发票，有关税费由乙方承担。</w:t>
      </w:r>
    </w:p>
    <w:p w14:paraId="458B4A6F">
      <w:pPr>
        <w:autoSpaceDE w:val="0"/>
        <w:autoSpaceDN w:val="0"/>
        <w:adjustRightInd w:val="0"/>
        <w:spacing w:line="360" w:lineRule="auto"/>
        <w:ind w:firstLine="480" w:firstLineChars="200"/>
        <w:jc w:val="left"/>
        <w:rPr>
          <w:color w:val="auto"/>
          <w:sz w:val="24"/>
          <w:szCs w:val="24"/>
          <w:highlight w:val="none"/>
          <w:u w:val="single"/>
        </w:rPr>
      </w:pPr>
      <w:r>
        <w:rPr>
          <w:rFonts w:hint="eastAsia"/>
          <w:color w:val="auto"/>
          <w:sz w:val="24"/>
          <w:szCs w:val="24"/>
          <w:highlight w:val="none"/>
          <w:u w:val="single"/>
        </w:rPr>
        <w:t>②工程完工、资料提交、竣工验收合格后，乙方提交竣工结算，业主</w:t>
      </w:r>
      <w:r>
        <w:rPr>
          <w:rFonts w:hint="eastAsia"/>
          <w:color w:val="auto"/>
          <w:sz w:val="24"/>
          <w:szCs w:val="24"/>
          <w:highlight w:val="none"/>
          <w:u w:val="single"/>
          <w:lang w:val="en-US" w:eastAsia="zh-CN"/>
        </w:rPr>
        <w:t>28</w:t>
      </w:r>
      <w:r>
        <w:rPr>
          <w:rFonts w:hint="eastAsia"/>
          <w:color w:val="auto"/>
          <w:sz w:val="24"/>
          <w:szCs w:val="24"/>
          <w:highlight w:val="none"/>
          <w:u w:val="single"/>
        </w:rPr>
        <w:t>日内完成结算审核工作，经甲方</w:t>
      </w:r>
      <w:r>
        <w:rPr>
          <w:rFonts w:hint="eastAsia"/>
          <w:color w:val="auto"/>
          <w:sz w:val="24"/>
          <w:szCs w:val="24"/>
          <w:highlight w:val="none"/>
          <w:u w:val="single"/>
          <w:lang w:val="en-US" w:eastAsia="zh-CN"/>
        </w:rPr>
        <w:t>上级单位审计</w:t>
      </w:r>
      <w:r>
        <w:rPr>
          <w:rFonts w:hint="eastAsia"/>
          <w:color w:val="auto"/>
          <w:sz w:val="24"/>
          <w:szCs w:val="24"/>
          <w:highlight w:val="none"/>
          <w:u w:val="single"/>
        </w:rPr>
        <w:t>审核后，甲方根据乙方提供的增值税专用发票支付工程结算款至结算总价的80%。</w:t>
      </w:r>
      <w:r>
        <w:rPr>
          <w:rFonts w:hint="eastAsia"/>
          <w:color w:val="auto"/>
          <w:sz w:val="24"/>
          <w:szCs w:val="24"/>
          <w:highlight w:val="none"/>
        </w:rPr>
        <w:t>经最终审计、取得审计报告后二个月内支付至最终结算总价的97%。</w:t>
      </w:r>
    </w:p>
    <w:p w14:paraId="307819A1">
      <w:pPr>
        <w:autoSpaceDE w:val="0"/>
        <w:autoSpaceDN w:val="0"/>
        <w:adjustRightInd w:val="0"/>
        <w:spacing w:line="360" w:lineRule="auto"/>
        <w:ind w:firstLine="480" w:firstLineChars="200"/>
        <w:jc w:val="left"/>
        <w:rPr>
          <w:rFonts w:ascii="宋体" w:hAnsi="宋体" w:cs="宋体"/>
          <w:color w:val="auto"/>
          <w:kern w:val="0"/>
          <w:sz w:val="24"/>
          <w:szCs w:val="24"/>
          <w:highlight w:val="none"/>
          <w:u w:val="single"/>
        </w:rPr>
      </w:pPr>
      <w:r>
        <w:rPr>
          <w:rFonts w:hint="eastAsia"/>
          <w:color w:val="auto"/>
          <w:sz w:val="24"/>
          <w:szCs w:val="24"/>
          <w:highlight w:val="none"/>
        </w:rPr>
        <w:t>③</w:t>
      </w:r>
      <w:r>
        <w:rPr>
          <w:rFonts w:hint="eastAsia"/>
          <w:color w:val="auto"/>
          <w:sz w:val="24"/>
          <w:szCs w:val="24"/>
          <w:highlight w:val="none"/>
          <w:u w:val="single"/>
        </w:rPr>
        <w:t>最终结算总价的 3% 为质量保修金，质保期满后甲方无质量异议后</w:t>
      </w:r>
      <w:r>
        <w:rPr>
          <w:rFonts w:hint="eastAsia"/>
          <w:color w:val="auto"/>
          <w:sz w:val="24"/>
          <w:szCs w:val="24"/>
          <w:highlight w:val="none"/>
          <w:u w:val="single"/>
          <w:lang w:val="en-US" w:eastAsia="zh-CN"/>
        </w:rPr>
        <w:t>3</w:t>
      </w:r>
      <w:r>
        <w:rPr>
          <w:rFonts w:hint="eastAsia"/>
          <w:color w:val="auto"/>
          <w:sz w:val="24"/>
          <w:szCs w:val="24"/>
          <w:highlight w:val="none"/>
          <w:u w:val="single"/>
        </w:rPr>
        <w:t>个月内付清（无息支付）。</w:t>
      </w:r>
    </w:p>
    <w:p w14:paraId="57A3601F">
      <w:pPr>
        <w:autoSpaceDE w:val="0"/>
        <w:autoSpaceDN w:val="0"/>
        <w:adjustRightInd w:val="0"/>
        <w:spacing w:line="360" w:lineRule="auto"/>
        <w:ind w:firstLine="480" w:firstLineChars="200"/>
        <w:jc w:val="left"/>
        <w:rPr>
          <w:color w:val="auto"/>
          <w:sz w:val="24"/>
          <w:szCs w:val="24"/>
          <w:highlight w:val="none"/>
        </w:rPr>
      </w:pPr>
      <w:r>
        <w:rPr>
          <w:rFonts w:hint="eastAsia"/>
          <w:color w:val="auto"/>
          <w:sz w:val="24"/>
          <w:szCs w:val="24"/>
          <w:highlight w:val="none"/>
        </w:rPr>
        <w:t>④</w:t>
      </w:r>
      <w:r>
        <w:rPr>
          <w:color w:val="auto"/>
          <w:sz w:val="24"/>
          <w:szCs w:val="24"/>
          <w:highlight w:val="none"/>
        </w:rPr>
        <w:t>乙方必须服从甲方生产安排</w:t>
      </w:r>
      <w:r>
        <w:rPr>
          <w:rFonts w:hint="eastAsia"/>
          <w:color w:val="auto"/>
          <w:sz w:val="24"/>
          <w:szCs w:val="24"/>
          <w:highlight w:val="none"/>
        </w:rPr>
        <w:t>，否则</w:t>
      </w:r>
      <w:r>
        <w:rPr>
          <w:color w:val="auto"/>
          <w:sz w:val="24"/>
          <w:szCs w:val="24"/>
          <w:highlight w:val="none"/>
        </w:rPr>
        <w:t>甲方有权对乙方按有关规定</w:t>
      </w:r>
      <w:r>
        <w:rPr>
          <w:rFonts w:hint="eastAsia"/>
          <w:color w:val="auto"/>
          <w:sz w:val="24"/>
          <w:szCs w:val="24"/>
          <w:highlight w:val="none"/>
        </w:rPr>
        <w:t>进行</w:t>
      </w:r>
      <w:r>
        <w:rPr>
          <w:color w:val="auto"/>
          <w:sz w:val="24"/>
          <w:szCs w:val="24"/>
          <w:highlight w:val="none"/>
        </w:rPr>
        <w:t>处罚</w:t>
      </w:r>
      <w:r>
        <w:rPr>
          <w:rFonts w:hint="eastAsia"/>
          <w:color w:val="auto"/>
          <w:sz w:val="24"/>
          <w:szCs w:val="24"/>
          <w:highlight w:val="none"/>
        </w:rPr>
        <w:t>，</w:t>
      </w:r>
      <w:r>
        <w:rPr>
          <w:color w:val="auto"/>
          <w:sz w:val="24"/>
          <w:szCs w:val="24"/>
          <w:highlight w:val="none"/>
        </w:rPr>
        <w:t>处罚金由甲方出具</w:t>
      </w:r>
      <w:r>
        <w:rPr>
          <w:rFonts w:hint="eastAsia"/>
          <w:color w:val="auto"/>
          <w:sz w:val="24"/>
          <w:szCs w:val="24"/>
          <w:highlight w:val="none"/>
        </w:rPr>
        <w:t>罚款</w:t>
      </w:r>
      <w:r>
        <w:rPr>
          <w:color w:val="auto"/>
          <w:sz w:val="24"/>
          <w:szCs w:val="24"/>
          <w:highlight w:val="none"/>
        </w:rPr>
        <w:t>单</w:t>
      </w:r>
      <w:r>
        <w:rPr>
          <w:rFonts w:hint="eastAsia"/>
          <w:color w:val="auto"/>
          <w:sz w:val="24"/>
          <w:szCs w:val="24"/>
          <w:highlight w:val="none"/>
        </w:rPr>
        <w:t>，乙方按要求交至甲方财务部门；</w:t>
      </w:r>
      <w:r>
        <w:rPr>
          <w:color w:val="auto"/>
          <w:sz w:val="24"/>
          <w:szCs w:val="24"/>
          <w:highlight w:val="none"/>
        </w:rPr>
        <w:t>乙方无故不签字者</w:t>
      </w:r>
      <w:r>
        <w:rPr>
          <w:rFonts w:hint="eastAsia"/>
          <w:color w:val="auto"/>
          <w:sz w:val="24"/>
          <w:szCs w:val="24"/>
          <w:highlight w:val="none"/>
        </w:rPr>
        <w:t>，</w:t>
      </w:r>
      <w:r>
        <w:rPr>
          <w:color w:val="auto"/>
          <w:sz w:val="24"/>
          <w:szCs w:val="24"/>
          <w:highlight w:val="none"/>
        </w:rPr>
        <w:t>不结算工程款。</w:t>
      </w:r>
    </w:p>
    <w:p w14:paraId="04A75A5B">
      <w:pPr>
        <w:numPr>
          <w:ilvl w:val="0"/>
          <w:numId w:val="0"/>
        </w:numPr>
        <w:autoSpaceDE w:val="0"/>
        <w:autoSpaceDN w:val="0"/>
        <w:adjustRightInd w:val="0"/>
        <w:spacing w:line="360" w:lineRule="auto"/>
        <w:ind w:firstLine="480" w:firstLineChars="200"/>
        <w:jc w:val="left"/>
        <w:rPr>
          <w:color w:val="auto"/>
          <w:sz w:val="24"/>
          <w:szCs w:val="24"/>
          <w:highlight w:val="none"/>
        </w:rPr>
      </w:pPr>
      <w:r>
        <w:rPr>
          <w:rFonts w:ascii="Calibri" w:hAnsi="Calibri" w:eastAsia="宋体" w:cs="Times New Roman"/>
          <w:color w:val="auto"/>
          <w:kern w:val="2"/>
          <w:sz w:val="24"/>
          <w:szCs w:val="24"/>
          <w:highlight w:val="none"/>
          <w:lang w:val="en-US" w:eastAsia="zh-CN" w:bidi="ar-SA"/>
        </w:rPr>
        <w:t>（3）</w:t>
      </w:r>
      <w:r>
        <w:rPr>
          <w:rFonts w:hint="eastAsia"/>
          <w:color w:val="auto"/>
          <w:sz w:val="24"/>
          <w:szCs w:val="24"/>
          <w:highlight w:val="none"/>
        </w:rPr>
        <w:t>乙方开具的增值税专用发票税率为9%，如国家调控税率发生变化，根据国家相关政策标准执行。</w:t>
      </w:r>
    </w:p>
    <w:p w14:paraId="502E4A4D">
      <w:pPr>
        <w:autoSpaceDE w:val="0"/>
        <w:autoSpaceDN w:val="0"/>
        <w:adjustRightInd w:val="0"/>
        <w:spacing w:line="360" w:lineRule="auto"/>
        <w:ind w:firstLine="480" w:firstLineChars="200"/>
        <w:jc w:val="left"/>
        <w:rPr>
          <w:color w:val="auto"/>
          <w:sz w:val="24"/>
          <w:szCs w:val="24"/>
          <w:highlight w:val="none"/>
        </w:rPr>
      </w:pPr>
      <w:r>
        <w:rPr>
          <w:rFonts w:hint="eastAsia"/>
          <w:color w:val="auto"/>
          <w:sz w:val="24"/>
          <w:szCs w:val="24"/>
          <w:highlight w:val="none"/>
        </w:rPr>
        <w:t>（</w:t>
      </w:r>
      <w:r>
        <w:rPr>
          <w:color w:val="auto"/>
          <w:sz w:val="24"/>
          <w:szCs w:val="24"/>
          <w:highlight w:val="none"/>
        </w:rPr>
        <w:t>4</w:t>
      </w:r>
      <w:r>
        <w:rPr>
          <w:rFonts w:hint="eastAsia"/>
          <w:color w:val="auto"/>
          <w:sz w:val="24"/>
          <w:szCs w:val="24"/>
          <w:highlight w:val="none"/>
        </w:rPr>
        <w:t>）合同</w:t>
      </w:r>
      <w:r>
        <w:rPr>
          <w:color w:val="auto"/>
          <w:sz w:val="24"/>
          <w:szCs w:val="24"/>
          <w:highlight w:val="none"/>
        </w:rPr>
        <w:t>签订后</w:t>
      </w:r>
      <w:r>
        <w:rPr>
          <w:rFonts w:hint="eastAsia"/>
          <w:color w:val="auto"/>
          <w:sz w:val="24"/>
          <w:szCs w:val="24"/>
          <w:highlight w:val="none"/>
        </w:rPr>
        <w:t>15个</w:t>
      </w:r>
      <w:r>
        <w:rPr>
          <w:color w:val="auto"/>
          <w:sz w:val="24"/>
          <w:szCs w:val="24"/>
          <w:highlight w:val="none"/>
        </w:rPr>
        <w:t>工作日内，</w:t>
      </w:r>
      <w:r>
        <w:rPr>
          <w:rFonts w:hint="eastAsia"/>
          <w:color w:val="auto"/>
          <w:sz w:val="24"/>
          <w:szCs w:val="24"/>
          <w:highlight w:val="none"/>
        </w:rPr>
        <w:t>承包人</w:t>
      </w:r>
      <w:r>
        <w:rPr>
          <w:color w:val="auto"/>
          <w:sz w:val="24"/>
          <w:szCs w:val="24"/>
          <w:highlight w:val="none"/>
        </w:rPr>
        <w:t>按招标文件要求向</w:t>
      </w:r>
      <w:r>
        <w:rPr>
          <w:rFonts w:hint="eastAsia"/>
          <w:color w:val="auto"/>
          <w:sz w:val="24"/>
          <w:szCs w:val="24"/>
          <w:highlight w:val="none"/>
        </w:rPr>
        <w:t>发包</w:t>
      </w:r>
      <w:r>
        <w:rPr>
          <w:color w:val="auto"/>
          <w:sz w:val="24"/>
          <w:szCs w:val="24"/>
          <w:highlight w:val="none"/>
        </w:rPr>
        <w:t>人提交</w:t>
      </w:r>
      <w:r>
        <w:rPr>
          <w:rFonts w:hint="eastAsia"/>
          <w:color w:val="auto"/>
          <w:sz w:val="24"/>
          <w:szCs w:val="24"/>
          <w:highlight w:val="none"/>
        </w:rPr>
        <w:t>合同</w:t>
      </w:r>
      <w:r>
        <w:rPr>
          <w:color w:val="auto"/>
          <w:sz w:val="24"/>
          <w:szCs w:val="24"/>
          <w:highlight w:val="none"/>
        </w:rPr>
        <w:t>履约保证金（</w:t>
      </w:r>
      <w:r>
        <w:rPr>
          <w:rFonts w:hint="eastAsia"/>
          <w:color w:val="auto"/>
          <w:sz w:val="24"/>
          <w:szCs w:val="24"/>
          <w:highlight w:val="none"/>
        </w:rPr>
        <w:t>保函</w:t>
      </w:r>
      <w:r>
        <w:rPr>
          <w:color w:val="auto"/>
          <w:sz w:val="24"/>
          <w:szCs w:val="24"/>
          <w:highlight w:val="none"/>
        </w:rPr>
        <w:t>形式</w:t>
      </w:r>
      <w:r>
        <w:rPr>
          <w:rFonts w:hint="eastAsia"/>
          <w:color w:val="auto"/>
          <w:sz w:val="24"/>
          <w:szCs w:val="24"/>
          <w:highlight w:val="none"/>
        </w:rPr>
        <w:t>，履约保函的有效期至工程竣工验收为止</w:t>
      </w:r>
      <w:r>
        <w:rPr>
          <w:color w:val="auto"/>
          <w:sz w:val="24"/>
          <w:szCs w:val="24"/>
          <w:highlight w:val="none"/>
        </w:rPr>
        <w:t>）</w:t>
      </w:r>
      <w:r>
        <w:rPr>
          <w:rFonts w:hint="eastAsia"/>
          <w:color w:val="auto"/>
          <w:sz w:val="24"/>
          <w:szCs w:val="24"/>
          <w:highlight w:val="none"/>
        </w:rPr>
        <w:t>，履约保证金额为合同暂估价款的</w:t>
      </w:r>
      <w:r>
        <w:rPr>
          <w:rFonts w:hint="eastAsia"/>
          <w:color w:val="auto"/>
          <w:sz w:val="24"/>
          <w:szCs w:val="24"/>
          <w:highlight w:val="none"/>
          <w:lang w:val="en-US" w:eastAsia="zh-CN"/>
        </w:rPr>
        <w:t>10</w:t>
      </w:r>
      <w:r>
        <w:rPr>
          <w:rFonts w:hint="eastAsia"/>
          <w:color w:val="auto"/>
          <w:sz w:val="24"/>
          <w:szCs w:val="24"/>
          <w:highlight w:val="none"/>
        </w:rPr>
        <w:t>％。</w:t>
      </w:r>
    </w:p>
    <w:p w14:paraId="1D331F3B">
      <w:pPr>
        <w:autoSpaceDE w:val="0"/>
        <w:autoSpaceDN w:val="0"/>
        <w:adjustRightInd w:val="0"/>
        <w:spacing w:line="360" w:lineRule="auto"/>
        <w:ind w:firstLine="480" w:firstLineChars="200"/>
        <w:jc w:val="left"/>
        <w:rPr>
          <w:rFonts w:ascii="宋体" w:hAnsi="宋体"/>
          <w:b w:val="0"/>
          <w:bCs w:val="0"/>
          <w:color w:val="auto"/>
          <w:sz w:val="24"/>
          <w:szCs w:val="24"/>
          <w:highlight w:val="none"/>
        </w:rPr>
      </w:pPr>
      <w:r>
        <w:rPr>
          <w:rFonts w:hint="eastAsia" w:ascii="宋体" w:hAnsi="宋体" w:cs="宋体"/>
          <w:b w:val="0"/>
          <w:bCs w:val="0"/>
          <w:color w:val="auto"/>
          <w:sz w:val="24"/>
          <w:szCs w:val="24"/>
          <w:highlight w:val="none"/>
        </w:rPr>
        <w:t>第</w:t>
      </w:r>
      <w:r>
        <w:rPr>
          <w:rFonts w:hint="eastAsia" w:ascii="宋体" w:hAnsi="宋体"/>
          <w:b w:val="0"/>
          <w:bCs w:val="0"/>
          <w:color w:val="auto"/>
          <w:sz w:val="24"/>
          <w:szCs w:val="24"/>
          <w:highlight w:val="none"/>
        </w:rPr>
        <w:t>1</w:t>
      </w:r>
      <w:r>
        <w:rPr>
          <w:rFonts w:ascii="宋体" w:hAnsi="宋体"/>
          <w:b w:val="0"/>
          <w:bCs w:val="0"/>
          <w:color w:val="auto"/>
          <w:sz w:val="24"/>
          <w:szCs w:val="24"/>
          <w:highlight w:val="none"/>
        </w:rPr>
        <w:t>9</w:t>
      </w:r>
      <w:r>
        <w:rPr>
          <w:rFonts w:hint="eastAsia" w:ascii="宋体" w:hAnsi="宋体" w:cs="宋体"/>
          <w:b w:val="0"/>
          <w:bCs w:val="0"/>
          <w:color w:val="auto"/>
          <w:sz w:val="24"/>
          <w:szCs w:val="24"/>
          <w:highlight w:val="none"/>
        </w:rPr>
        <w:t>条</w:t>
      </w:r>
      <w:r>
        <w:rPr>
          <w:rFonts w:ascii="宋体" w:hAnsi="宋体"/>
          <w:b w:val="0"/>
          <w:bCs w:val="0"/>
          <w:color w:val="auto"/>
          <w:sz w:val="24"/>
          <w:szCs w:val="24"/>
          <w:highlight w:val="none"/>
        </w:rPr>
        <w:t xml:space="preserve">  </w:t>
      </w:r>
      <w:r>
        <w:rPr>
          <w:rFonts w:hint="eastAsia" w:ascii="宋体" w:hAnsi="宋体" w:cs="宋体"/>
          <w:b w:val="0"/>
          <w:bCs w:val="0"/>
          <w:color w:val="auto"/>
          <w:sz w:val="24"/>
          <w:szCs w:val="24"/>
          <w:highlight w:val="none"/>
        </w:rPr>
        <w:t>工程变更及合同价款调整</w:t>
      </w:r>
    </w:p>
    <w:p w14:paraId="5C5DD6FF">
      <w:pPr>
        <w:spacing w:line="360" w:lineRule="auto"/>
        <w:ind w:firstLine="480" w:firstLineChars="200"/>
        <w:rPr>
          <w:rFonts w:hint="eastAsia"/>
          <w:b w:val="0"/>
          <w:bCs w:val="0"/>
          <w:color w:val="auto"/>
          <w:sz w:val="24"/>
          <w:szCs w:val="24"/>
          <w:highlight w:val="none"/>
        </w:rPr>
      </w:pPr>
      <w:r>
        <w:rPr>
          <w:rFonts w:hint="eastAsia"/>
          <w:b w:val="0"/>
          <w:bCs w:val="0"/>
          <w:color w:val="auto"/>
          <w:sz w:val="24"/>
          <w:szCs w:val="24"/>
          <w:highlight w:val="none"/>
        </w:rPr>
        <w:t>招标清单以外或设计变更、现场签证增加的工程内容，按以下方法结算：</w:t>
      </w:r>
    </w:p>
    <w:p w14:paraId="01C797DD">
      <w:pPr>
        <w:spacing w:line="360" w:lineRule="auto"/>
        <w:ind w:firstLine="482" w:firstLineChars="200"/>
        <w:rPr>
          <w:rFonts w:hint="eastAsia"/>
          <w:b/>
          <w:bCs/>
          <w:color w:val="auto"/>
          <w:sz w:val="24"/>
          <w:szCs w:val="24"/>
          <w:highlight w:val="none"/>
        </w:rPr>
      </w:pPr>
      <w:r>
        <w:rPr>
          <w:rFonts w:hint="eastAsia"/>
          <w:b/>
          <w:bCs/>
          <w:color w:val="auto"/>
          <w:sz w:val="24"/>
          <w:szCs w:val="24"/>
          <w:highlight w:val="none"/>
          <w:lang w:val="en-US" w:eastAsia="zh-CN"/>
        </w:rPr>
        <w:t>19.1</w:t>
      </w:r>
      <w:r>
        <w:rPr>
          <w:rFonts w:hint="eastAsia"/>
          <w:b/>
          <w:bCs/>
          <w:color w:val="auto"/>
          <w:sz w:val="24"/>
          <w:szCs w:val="24"/>
          <w:highlight w:val="none"/>
        </w:rPr>
        <w:t>工程量按实结算；</w:t>
      </w:r>
    </w:p>
    <w:p w14:paraId="0F2E91B7">
      <w:pPr>
        <w:spacing w:line="360" w:lineRule="auto"/>
        <w:ind w:firstLine="482" w:firstLineChars="200"/>
        <w:rPr>
          <w:rFonts w:hint="eastAsia"/>
          <w:b/>
          <w:bCs/>
          <w:color w:val="auto"/>
          <w:sz w:val="24"/>
          <w:szCs w:val="24"/>
          <w:highlight w:val="none"/>
        </w:rPr>
      </w:pPr>
      <w:r>
        <w:rPr>
          <w:rFonts w:hint="eastAsia"/>
          <w:b/>
          <w:bCs/>
          <w:color w:val="auto"/>
          <w:sz w:val="24"/>
          <w:szCs w:val="24"/>
          <w:highlight w:val="none"/>
          <w:lang w:val="en-US" w:eastAsia="zh-CN"/>
        </w:rPr>
        <w:t>19.2</w:t>
      </w:r>
      <w:r>
        <w:rPr>
          <w:rFonts w:hint="eastAsia"/>
          <w:b/>
          <w:bCs/>
          <w:color w:val="auto"/>
          <w:sz w:val="24"/>
          <w:szCs w:val="24"/>
          <w:highlight w:val="none"/>
        </w:rPr>
        <w:t>综合单价按以下方法计算：</w:t>
      </w:r>
    </w:p>
    <w:p w14:paraId="15881496">
      <w:pPr>
        <w:spacing w:line="360" w:lineRule="auto"/>
        <w:ind w:firstLine="480" w:firstLineChars="200"/>
        <w:rPr>
          <w:rFonts w:hint="eastAsia"/>
          <w:b w:val="0"/>
          <w:bCs w:val="0"/>
          <w:color w:val="auto"/>
          <w:sz w:val="24"/>
          <w:szCs w:val="24"/>
          <w:highlight w:val="none"/>
        </w:rPr>
      </w:pPr>
      <w:r>
        <w:rPr>
          <w:rFonts w:hint="eastAsia"/>
          <w:b w:val="0"/>
          <w:bCs w:val="0"/>
          <w:color w:val="auto"/>
          <w:sz w:val="24"/>
          <w:szCs w:val="24"/>
          <w:highlight w:val="none"/>
          <w:lang w:val="en-US" w:eastAsia="zh-CN"/>
        </w:rPr>
        <w:t>19.2.1</w:t>
      </w:r>
      <w:r>
        <w:rPr>
          <w:rFonts w:hint="eastAsia"/>
          <w:b w:val="0"/>
          <w:bCs w:val="0"/>
          <w:color w:val="auto"/>
          <w:sz w:val="24"/>
          <w:szCs w:val="24"/>
          <w:highlight w:val="none"/>
        </w:rPr>
        <w:t>投标报价或合同约定有单价的按投标报价或合同约定单价执行；</w:t>
      </w:r>
    </w:p>
    <w:p w14:paraId="11C7D3D0">
      <w:pPr>
        <w:spacing w:line="360" w:lineRule="auto"/>
        <w:ind w:firstLine="480" w:firstLineChars="200"/>
        <w:rPr>
          <w:rFonts w:hint="eastAsia"/>
          <w:b w:val="0"/>
          <w:bCs w:val="0"/>
          <w:color w:val="auto"/>
          <w:sz w:val="24"/>
          <w:szCs w:val="24"/>
          <w:highlight w:val="none"/>
        </w:rPr>
      </w:pPr>
      <w:r>
        <w:rPr>
          <w:rFonts w:hint="eastAsia"/>
          <w:b w:val="0"/>
          <w:bCs w:val="0"/>
          <w:color w:val="auto"/>
          <w:sz w:val="24"/>
          <w:szCs w:val="24"/>
          <w:highlight w:val="none"/>
          <w:lang w:val="en-US" w:eastAsia="zh-CN"/>
        </w:rPr>
        <w:t>19.2.2</w:t>
      </w:r>
      <w:r>
        <w:rPr>
          <w:rFonts w:hint="eastAsia"/>
          <w:b w:val="0"/>
          <w:bCs w:val="0"/>
          <w:color w:val="auto"/>
          <w:sz w:val="24"/>
          <w:szCs w:val="24"/>
          <w:highlight w:val="none"/>
        </w:rPr>
        <w:t>投标报价或合同约定中有类似的单价，可以参照投标报价或合同约定的类似综合单价执行；</w:t>
      </w:r>
    </w:p>
    <w:p w14:paraId="3A87BB33">
      <w:pPr>
        <w:spacing w:line="360" w:lineRule="auto"/>
        <w:ind w:firstLine="480" w:firstLineChars="200"/>
        <w:rPr>
          <w:rFonts w:hint="eastAsia"/>
          <w:b w:val="0"/>
          <w:bCs w:val="0"/>
          <w:color w:val="auto"/>
          <w:sz w:val="24"/>
          <w:szCs w:val="24"/>
          <w:highlight w:val="none"/>
        </w:rPr>
      </w:pPr>
      <w:r>
        <w:rPr>
          <w:rFonts w:hint="eastAsia"/>
          <w:b w:val="0"/>
          <w:bCs w:val="0"/>
          <w:color w:val="auto"/>
          <w:sz w:val="24"/>
          <w:szCs w:val="24"/>
          <w:highlight w:val="none"/>
          <w:lang w:val="en-US" w:eastAsia="zh-CN"/>
        </w:rPr>
        <w:t>19.2.3</w:t>
      </w:r>
      <w:r>
        <w:rPr>
          <w:rFonts w:hint="eastAsia"/>
          <w:b w:val="0"/>
          <w:bCs w:val="0"/>
          <w:color w:val="auto"/>
          <w:sz w:val="24"/>
          <w:szCs w:val="24"/>
          <w:highlight w:val="none"/>
        </w:rPr>
        <w:t>如果投标报价或合同约定没有的价按</w:t>
      </w:r>
      <w:r>
        <w:rPr>
          <w:rFonts w:hint="eastAsia"/>
          <w:b w:val="0"/>
          <w:bCs w:val="0"/>
          <w:color w:val="auto"/>
          <w:sz w:val="24"/>
          <w:szCs w:val="24"/>
          <w:highlight w:val="none"/>
          <w:lang w:val="en-US" w:eastAsia="zh-CN"/>
        </w:rPr>
        <w:t>下列方式</w:t>
      </w:r>
      <w:r>
        <w:rPr>
          <w:rFonts w:hint="eastAsia"/>
          <w:b w:val="0"/>
          <w:bCs w:val="0"/>
          <w:color w:val="auto"/>
          <w:sz w:val="24"/>
          <w:szCs w:val="24"/>
          <w:highlight w:val="none"/>
        </w:rPr>
        <w:t>进行组价</w:t>
      </w:r>
      <w:r>
        <w:rPr>
          <w:rFonts w:hint="eastAsia"/>
          <w:b w:val="0"/>
          <w:bCs w:val="0"/>
          <w:color w:val="auto"/>
          <w:sz w:val="24"/>
          <w:szCs w:val="24"/>
          <w:highlight w:val="none"/>
          <w:lang w:eastAsia="zh-CN"/>
        </w:rPr>
        <w:t>，</w:t>
      </w:r>
      <w:r>
        <w:rPr>
          <w:rFonts w:hint="eastAsia"/>
          <w:b w:val="0"/>
          <w:bCs w:val="0"/>
          <w:color w:val="auto"/>
          <w:sz w:val="24"/>
          <w:szCs w:val="24"/>
          <w:highlight w:val="none"/>
          <w:lang w:val="en-US" w:eastAsia="zh-CN"/>
        </w:rPr>
        <w:t>并乘以降幅系数进行计价。降幅系数=1-中标下浮率。</w:t>
      </w:r>
    </w:p>
    <w:p w14:paraId="52EF4DAE">
      <w:pPr>
        <w:spacing w:line="360" w:lineRule="auto"/>
        <w:ind w:firstLine="482" w:firstLineChars="200"/>
        <w:rPr>
          <w:rFonts w:hint="eastAsia"/>
          <w:b/>
          <w:bCs/>
          <w:color w:val="auto"/>
          <w:sz w:val="24"/>
          <w:szCs w:val="24"/>
          <w:highlight w:val="none"/>
          <w:lang w:val="en-US" w:eastAsia="zh-CN"/>
        </w:rPr>
      </w:pPr>
      <w:r>
        <w:rPr>
          <w:rFonts w:hint="eastAsia"/>
          <w:b/>
          <w:bCs/>
          <w:color w:val="auto"/>
          <w:sz w:val="24"/>
          <w:szCs w:val="24"/>
          <w:highlight w:val="none"/>
          <w:lang w:val="en-US" w:eastAsia="zh-CN"/>
        </w:rPr>
        <w:t>19.2.3.1 适用的计价文件：</w:t>
      </w:r>
    </w:p>
    <w:p w14:paraId="7AC2BEE2">
      <w:pPr>
        <w:spacing w:line="360" w:lineRule="auto"/>
        <w:ind w:firstLine="480" w:firstLineChars="200"/>
        <w:rPr>
          <w:rFonts w:hint="eastAsia"/>
          <w:b w:val="0"/>
          <w:bCs w:val="0"/>
          <w:color w:val="auto"/>
          <w:sz w:val="24"/>
          <w:highlight w:val="none"/>
          <w:lang w:eastAsia="zh-CN"/>
        </w:rPr>
      </w:pPr>
      <w:r>
        <w:rPr>
          <w:rFonts w:hint="eastAsia"/>
          <w:b w:val="0"/>
          <w:bCs w:val="0"/>
          <w:color w:val="auto"/>
          <w:sz w:val="24"/>
          <w:highlight w:val="none"/>
          <w:lang w:eastAsia="zh-CN"/>
        </w:rPr>
        <w:t>（</w:t>
      </w:r>
      <w:r>
        <w:rPr>
          <w:rFonts w:hint="eastAsia"/>
          <w:b w:val="0"/>
          <w:bCs w:val="0"/>
          <w:color w:val="auto"/>
          <w:sz w:val="24"/>
          <w:highlight w:val="none"/>
          <w:lang w:val="en-US" w:eastAsia="zh-CN"/>
        </w:rPr>
        <w:t>1</w:t>
      </w:r>
      <w:r>
        <w:rPr>
          <w:rFonts w:hint="eastAsia"/>
          <w:b w:val="0"/>
          <w:bCs w:val="0"/>
          <w:color w:val="auto"/>
          <w:sz w:val="24"/>
          <w:highlight w:val="none"/>
          <w:lang w:eastAsia="zh-CN"/>
        </w:rPr>
        <w:t>）《工程工程量计算规范》（GB50858-2013）、浙江省及衢州市有关补充规定</w:t>
      </w:r>
    </w:p>
    <w:p w14:paraId="0420FE74">
      <w:pPr>
        <w:spacing w:line="360" w:lineRule="auto"/>
        <w:ind w:firstLine="480" w:firstLineChars="200"/>
        <w:rPr>
          <w:rFonts w:hint="eastAsia"/>
          <w:b/>
          <w:bCs/>
          <w:color w:val="auto"/>
          <w:sz w:val="24"/>
          <w:szCs w:val="24"/>
          <w:highlight w:val="none"/>
          <w:lang w:val="en-US" w:eastAsia="zh-CN"/>
        </w:rPr>
      </w:pPr>
      <w:r>
        <w:rPr>
          <w:rFonts w:hint="eastAsia"/>
          <w:b w:val="0"/>
          <w:bCs w:val="0"/>
          <w:color w:val="auto"/>
          <w:sz w:val="24"/>
          <w:szCs w:val="24"/>
          <w:highlight w:val="none"/>
          <w:lang w:eastAsia="zh-CN"/>
        </w:rPr>
        <w:t>（</w:t>
      </w:r>
      <w:r>
        <w:rPr>
          <w:rFonts w:hint="eastAsia"/>
          <w:b w:val="0"/>
          <w:bCs w:val="0"/>
          <w:color w:val="auto"/>
          <w:sz w:val="24"/>
          <w:szCs w:val="24"/>
          <w:highlight w:val="none"/>
          <w:lang w:val="en-US" w:eastAsia="zh-CN"/>
        </w:rPr>
        <w:t>2</w:t>
      </w:r>
      <w:r>
        <w:rPr>
          <w:rFonts w:hint="eastAsia"/>
          <w:b w:val="0"/>
          <w:bCs w:val="0"/>
          <w:color w:val="auto"/>
          <w:sz w:val="24"/>
          <w:szCs w:val="24"/>
          <w:highlight w:val="none"/>
          <w:lang w:eastAsia="zh-CN"/>
        </w:rPr>
        <w:t>）《浙江省市政工程预算定额（2018版）》、《浙江省园林绿化及仿古建筑工程预算定额（2018版）》、《浙江省房屋建筑与装饰工程预算定额（2018版）》、《浙江省通用安装预算定额（2018版）》、《浙江省建设工程计价规则（2018版）》、《浙江省建设工程施工机械台班费用定额（2018版）》及省市相关造价管理文件。</w:t>
      </w:r>
    </w:p>
    <w:p w14:paraId="162F6C3C">
      <w:pPr>
        <w:spacing w:line="360" w:lineRule="auto"/>
        <w:ind w:firstLine="482" w:firstLineChars="200"/>
        <w:rPr>
          <w:rFonts w:hint="eastAsia"/>
          <w:b/>
          <w:bCs/>
          <w:color w:val="auto"/>
          <w:sz w:val="24"/>
          <w:szCs w:val="24"/>
          <w:highlight w:val="none"/>
          <w:lang w:val="en-US" w:eastAsia="zh-CN"/>
        </w:rPr>
      </w:pPr>
      <w:r>
        <w:rPr>
          <w:rFonts w:hint="eastAsia"/>
          <w:b/>
          <w:bCs/>
          <w:color w:val="auto"/>
          <w:sz w:val="24"/>
          <w:szCs w:val="24"/>
          <w:highlight w:val="none"/>
          <w:lang w:val="en-US" w:eastAsia="zh-CN"/>
        </w:rPr>
        <w:t>19.2.3.2 取费标准：</w:t>
      </w:r>
    </w:p>
    <w:p w14:paraId="0F9E8882">
      <w:pPr>
        <w:spacing w:line="360" w:lineRule="auto"/>
        <w:ind w:firstLine="480" w:firstLineChars="200"/>
        <w:rPr>
          <w:rFonts w:hint="eastAsia"/>
          <w:b w:val="0"/>
          <w:bCs w:val="0"/>
          <w:color w:val="auto"/>
          <w:sz w:val="24"/>
          <w:highlight w:val="none"/>
          <w:lang w:eastAsia="zh-CN"/>
        </w:rPr>
      </w:pPr>
      <w:r>
        <w:rPr>
          <w:rFonts w:hint="eastAsia"/>
          <w:b w:val="0"/>
          <w:bCs w:val="0"/>
          <w:color w:val="auto"/>
          <w:sz w:val="24"/>
          <w:highlight w:val="none"/>
          <w:lang w:eastAsia="zh-CN"/>
        </w:rPr>
        <w:t>（</w:t>
      </w:r>
      <w:r>
        <w:rPr>
          <w:rFonts w:hint="eastAsia"/>
          <w:b w:val="0"/>
          <w:bCs w:val="0"/>
          <w:color w:val="auto"/>
          <w:sz w:val="24"/>
          <w:highlight w:val="none"/>
          <w:lang w:val="en-US" w:eastAsia="zh-CN"/>
        </w:rPr>
        <w:t>1浙江巨化化工矿业有限公司后塘弄尾矿库闭库工程取费标准按三类中值非市区标准执行，仅计取管理费、利润、安全文明施工费、规费及 9% 的税金（依据建建发 [2018] 104 号文件，以税前造价为基数）；材料调差按衢住建办【2020】37 号文件执行，混凝土采用商品混凝土；人工及材料单价参照 2025 年 2 月《衢州造价信息》龙游价，无对应价格时依次采用衢州市区价、浙江省信息价或市场询价；工程无暂列金额、创标化工地增加费及总包服务费。</w:t>
      </w:r>
    </w:p>
    <w:p w14:paraId="1E5365BC">
      <w:pPr>
        <w:spacing w:line="360" w:lineRule="auto"/>
        <w:ind w:firstLine="480" w:firstLineChars="200"/>
        <w:rPr>
          <w:rFonts w:hint="eastAsia"/>
          <w:b w:val="0"/>
          <w:bCs w:val="0"/>
          <w:color w:val="auto"/>
          <w:sz w:val="24"/>
          <w:highlight w:val="none"/>
          <w:lang w:val="en-US" w:eastAsia="zh-CN"/>
        </w:rPr>
      </w:pPr>
      <w:r>
        <w:rPr>
          <w:rFonts w:hint="eastAsia"/>
          <w:b w:val="0"/>
          <w:bCs w:val="0"/>
          <w:color w:val="auto"/>
          <w:sz w:val="24"/>
          <w:highlight w:val="none"/>
          <w:lang w:eastAsia="zh-CN"/>
        </w:rPr>
        <w:t>（</w:t>
      </w:r>
      <w:r>
        <w:rPr>
          <w:rFonts w:hint="eastAsia"/>
          <w:b w:val="0"/>
          <w:bCs w:val="0"/>
          <w:color w:val="auto"/>
          <w:sz w:val="24"/>
          <w:highlight w:val="none"/>
          <w:lang w:val="en-US" w:eastAsia="zh-CN"/>
        </w:rPr>
        <w:t>2</w:t>
      </w:r>
      <w:r>
        <w:rPr>
          <w:rFonts w:hint="eastAsia"/>
          <w:b w:val="0"/>
          <w:bCs w:val="0"/>
          <w:color w:val="auto"/>
          <w:sz w:val="24"/>
          <w:highlight w:val="none"/>
          <w:lang w:eastAsia="zh-CN"/>
        </w:rPr>
        <w:t>）</w:t>
      </w:r>
      <w:r>
        <w:rPr>
          <w:rFonts w:hint="eastAsia"/>
          <w:b w:val="0"/>
          <w:bCs w:val="0"/>
          <w:color w:val="auto"/>
          <w:sz w:val="24"/>
          <w:highlight w:val="none"/>
          <w:lang w:val="en-US" w:eastAsia="zh-CN"/>
        </w:rPr>
        <w:t>套用浙江省当地定额的按定额约定及相应的政策文件执行。</w:t>
      </w:r>
    </w:p>
    <w:p w14:paraId="7A381F75">
      <w:pPr>
        <w:spacing w:line="360" w:lineRule="auto"/>
        <w:ind w:firstLine="482" w:firstLineChars="200"/>
        <w:rPr>
          <w:rFonts w:hint="eastAsia"/>
          <w:b/>
          <w:bCs/>
          <w:color w:val="auto"/>
          <w:sz w:val="24"/>
          <w:highlight w:val="none"/>
          <w:lang w:val="en-US" w:eastAsia="zh-CN"/>
        </w:rPr>
      </w:pPr>
      <w:r>
        <w:rPr>
          <w:rFonts w:hint="eastAsia"/>
          <w:b/>
          <w:bCs/>
          <w:color w:val="auto"/>
          <w:sz w:val="24"/>
          <w:highlight w:val="none"/>
          <w:lang w:val="en-US" w:eastAsia="zh-CN"/>
        </w:rPr>
        <w:t>19.2.3.3人工、材料、机械台班单价的确定：</w:t>
      </w:r>
    </w:p>
    <w:p w14:paraId="049F7F06">
      <w:pPr>
        <w:numPr>
          <w:ilvl w:val="0"/>
          <w:numId w:val="0"/>
        </w:numPr>
        <w:spacing w:line="360" w:lineRule="auto"/>
        <w:ind w:firstLine="480" w:firstLineChars="200"/>
        <w:rPr>
          <w:rFonts w:hint="eastAsia"/>
          <w:b w:val="0"/>
          <w:bCs w:val="0"/>
          <w:color w:val="auto"/>
          <w:sz w:val="24"/>
          <w:highlight w:val="none"/>
          <w:lang w:val="en-US" w:eastAsia="zh-CN"/>
        </w:rPr>
      </w:pPr>
      <w:r>
        <w:rPr>
          <w:rFonts w:hint="eastAsia" w:ascii="Calibri" w:hAnsi="Calibri" w:eastAsia="宋体" w:cs="Times New Roman"/>
          <w:b w:val="0"/>
          <w:bCs w:val="0"/>
          <w:color w:val="auto"/>
          <w:kern w:val="2"/>
          <w:sz w:val="24"/>
          <w:szCs w:val="24"/>
          <w:highlight w:val="none"/>
          <w:lang w:val="en-US" w:eastAsia="zh-CN" w:bidi="ar-SA"/>
        </w:rPr>
        <w:t>（1）</w:t>
      </w:r>
      <w:r>
        <w:rPr>
          <w:rFonts w:hint="eastAsia"/>
          <w:b w:val="0"/>
          <w:bCs w:val="0"/>
          <w:color w:val="auto"/>
          <w:sz w:val="24"/>
          <w:highlight w:val="none"/>
          <w:lang w:val="en-US" w:eastAsia="zh-CN"/>
        </w:rPr>
        <w:t>人工单价</w:t>
      </w:r>
    </w:p>
    <w:p w14:paraId="13D4A1F3">
      <w:pPr>
        <w:numPr>
          <w:ilvl w:val="-1"/>
          <w:numId w:val="0"/>
        </w:numPr>
        <w:spacing w:line="360" w:lineRule="auto"/>
        <w:ind w:firstLine="480" w:firstLineChars="0"/>
        <w:rPr>
          <w:rFonts w:hint="default"/>
          <w:b w:val="0"/>
          <w:bCs w:val="0"/>
          <w:color w:val="auto"/>
          <w:sz w:val="24"/>
          <w:highlight w:val="none"/>
          <w:lang w:val="en-US" w:eastAsia="zh-CN"/>
        </w:rPr>
      </w:pPr>
      <w:r>
        <w:rPr>
          <w:rFonts w:hint="default" w:ascii="Calibri" w:hAnsi="Calibri" w:cs="Calibri"/>
          <w:b w:val="0"/>
          <w:bCs w:val="0"/>
          <w:color w:val="auto"/>
          <w:sz w:val="24"/>
          <w:highlight w:val="none"/>
          <w:lang w:val="en-US" w:eastAsia="zh-CN"/>
        </w:rPr>
        <w:t>①</w:t>
      </w:r>
      <w:r>
        <w:rPr>
          <w:rFonts w:hint="eastAsia"/>
          <w:b w:val="0"/>
          <w:bCs w:val="0"/>
          <w:color w:val="auto"/>
          <w:sz w:val="24"/>
          <w:highlight w:val="none"/>
          <w:lang w:val="en-US" w:eastAsia="zh-CN"/>
        </w:rPr>
        <w:t>套用浙建价〔2023〕12号《关于调整建设工程人工单价的通知》。</w:t>
      </w:r>
    </w:p>
    <w:p w14:paraId="7213E357">
      <w:pPr>
        <w:numPr>
          <w:ilvl w:val="-1"/>
          <w:numId w:val="0"/>
        </w:numPr>
        <w:spacing w:line="360" w:lineRule="auto"/>
        <w:ind w:firstLine="480" w:firstLineChars="0"/>
        <w:rPr>
          <w:rFonts w:hint="default"/>
          <w:b w:val="0"/>
          <w:bCs w:val="0"/>
          <w:color w:val="auto"/>
          <w:sz w:val="24"/>
          <w:highlight w:val="none"/>
          <w:lang w:val="en-US" w:eastAsia="zh-CN"/>
        </w:rPr>
      </w:pPr>
      <w:r>
        <w:rPr>
          <w:rFonts w:hint="default" w:ascii="Calibri" w:hAnsi="Calibri" w:cs="Calibri"/>
          <w:b w:val="0"/>
          <w:bCs w:val="0"/>
          <w:color w:val="auto"/>
          <w:sz w:val="24"/>
          <w:highlight w:val="none"/>
          <w:lang w:val="en-US" w:eastAsia="zh-CN"/>
        </w:rPr>
        <w:t>②</w:t>
      </w:r>
      <w:r>
        <w:rPr>
          <w:rFonts w:hint="eastAsia"/>
          <w:b w:val="0"/>
          <w:bCs w:val="0"/>
          <w:color w:val="auto"/>
          <w:sz w:val="24"/>
          <w:highlight w:val="none"/>
          <w:lang w:val="en-US" w:eastAsia="zh-CN"/>
        </w:rPr>
        <w:t>套用浙江省当地定额的按定额约定及相应的政策文件执行。</w:t>
      </w:r>
    </w:p>
    <w:p w14:paraId="5DC7781F">
      <w:pPr>
        <w:numPr>
          <w:ilvl w:val="0"/>
          <w:numId w:val="0"/>
        </w:numPr>
        <w:spacing w:line="360" w:lineRule="auto"/>
        <w:ind w:firstLine="480" w:firstLineChars="200"/>
        <w:rPr>
          <w:rFonts w:hint="eastAsia"/>
          <w:b w:val="0"/>
          <w:bCs w:val="0"/>
          <w:color w:val="auto"/>
          <w:sz w:val="24"/>
          <w:szCs w:val="24"/>
          <w:highlight w:val="none"/>
          <w:lang w:val="en-US" w:eastAsia="zh-CN"/>
        </w:rPr>
      </w:pPr>
      <w:r>
        <w:rPr>
          <w:rFonts w:hint="eastAsia" w:ascii="Calibri" w:hAnsi="Calibri" w:eastAsia="宋体" w:cs="Times New Roman"/>
          <w:b w:val="0"/>
          <w:bCs w:val="0"/>
          <w:color w:val="auto"/>
          <w:kern w:val="2"/>
          <w:sz w:val="24"/>
          <w:szCs w:val="24"/>
          <w:highlight w:val="none"/>
          <w:lang w:val="en-US" w:eastAsia="zh-CN" w:bidi="ar-SA"/>
        </w:rPr>
        <w:t>（2）</w:t>
      </w:r>
      <w:r>
        <w:rPr>
          <w:rFonts w:hint="eastAsia"/>
          <w:b w:val="0"/>
          <w:bCs w:val="0"/>
          <w:color w:val="auto"/>
          <w:sz w:val="24"/>
          <w:szCs w:val="24"/>
          <w:highlight w:val="none"/>
          <w:lang w:val="en-US" w:eastAsia="zh-CN"/>
        </w:rPr>
        <w:t>机械台班单价：</w:t>
      </w:r>
    </w:p>
    <w:p w14:paraId="1293E477">
      <w:pPr>
        <w:numPr>
          <w:ilvl w:val="0"/>
          <w:numId w:val="0"/>
        </w:numPr>
        <w:spacing w:line="360" w:lineRule="auto"/>
        <w:ind w:firstLine="480" w:firstLineChars="200"/>
        <w:rPr>
          <w:rFonts w:hint="eastAsia"/>
          <w:b w:val="0"/>
          <w:bCs w:val="0"/>
          <w:color w:val="auto"/>
          <w:sz w:val="24"/>
          <w:szCs w:val="24"/>
          <w:highlight w:val="none"/>
          <w:lang w:val="en-US" w:eastAsia="zh-CN"/>
        </w:rPr>
      </w:pPr>
      <w:r>
        <w:rPr>
          <w:rFonts w:hint="eastAsia"/>
          <w:b w:val="0"/>
          <w:bCs w:val="0"/>
          <w:color w:val="auto"/>
          <w:sz w:val="24"/>
          <w:szCs w:val="24"/>
          <w:highlight w:val="none"/>
          <w:lang w:val="en-US" w:eastAsia="zh-CN"/>
        </w:rPr>
        <w:t>机械台班费用执行《浙江省建设工程施工机械台班费用定额（2018 版）》，该定额包含土石方机械、起重机械等多类设备的台班单价，涵盖折旧费、燃料费、人工费等组成部分。</w:t>
      </w:r>
    </w:p>
    <w:p w14:paraId="26AE4B00">
      <w:pPr>
        <w:numPr>
          <w:ilvl w:val="0"/>
          <w:numId w:val="0"/>
        </w:numPr>
        <w:spacing w:line="360" w:lineRule="auto"/>
        <w:ind w:firstLine="480" w:firstLineChars="200"/>
        <w:rPr>
          <w:b w:val="0"/>
          <w:bCs w:val="0"/>
          <w:color w:val="auto"/>
          <w:sz w:val="24"/>
          <w:szCs w:val="24"/>
          <w:highlight w:val="none"/>
        </w:rPr>
      </w:pPr>
      <w:r>
        <w:rPr>
          <w:rFonts w:ascii="Calibri" w:hAnsi="Calibri" w:eastAsia="宋体" w:cs="Times New Roman"/>
          <w:b w:val="0"/>
          <w:bCs w:val="0"/>
          <w:color w:val="auto"/>
          <w:kern w:val="2"/>
          <w:sz w:val="24"/>
          <w:szCs w:val="24"/>
          <w:highlight w:val="none"/>
          <w:lang w:val="en-US" w:eastAsia="zh-CN" w:bidi="ar-SA"/>
        </w:rPr>
        <w:t>（3）</w:t>
      </w:r>
      <w:r>
        <w:rPr>
          <w:rFonts w:hint="eastAsia"/>
          <w:b w:val="0"/>
          <w:bCs w:val="0"/>
          <w:color w:val="auto"/>
          <w:sz w:val="24"/>
          <w:szCs w:val="24"/>
          <w:highlight w:val="none"/>
          <w:lang w:val="en-US" w:eastAsia="zh-CN"/>
        </w:rPr>
        <w:t>材料单价：</w:t>
      </w:r>
    </w:p>
    <w:p w14:paraId="1C001A93">
      <w:pPr>
        <w:numPr>
          <w:ilvl w:val="0"/>
          <w:numId w:val="0"/>
        </w:numPr>
        <w:spacing w:line="360" w:lineRule="auto"/>
        <w:ind w:firstLine="480" w:firstLineChars="200"/>
        <w:rPr>
          <w:rFonts w:hint="eastAsia" w:ascii="宋体" w:hAnsi="宋体"/>
          <w:b w:val="0"/>
          <w:bCs/>
          <w:color w:val="auto"/>
          <w:sz w:val="24"/>
          <w:szCs w:val="24"/>
          <w:highlight w:val="none"/>
          <w:u w:val="none"/>
          <w:lang w:val="en-US" w:eastAsia="zh-CN"/>
        </w:rPr>
      </w:pPr>
      <w:r>
        <w:rPr>
          <w:rFonts w:hint="eastAsia" w:ascii="宋体" w:hAnsi="宋体"/>
          <w:b w:val="0"/>
          <w:bCs/>
          <w:color w:val="auto"/>
          <w:sz w:val="24"/>
          <w:szCs w:val="24"/>
          <w:highlight w:val="none"/>
          <w:u w:val="none"/>
          <w:lang w:val="en-US" w:eastAsia="zh-CN"/>
        </w:rPr>
        <w:t>材料价格依次按2025年4月《浙江造价信息》公布的衢州、金华、丽水、省综合的材料价格执行，信息价中没有的材料、设备或发包人认为不适宜套用定额的，由乙方于施工使用前30天提交批价申请，经甲方市场询价审定，事后不予受理。</w:t>
      </w:r>
    </w:p>
    <w:p w14:paraId="2865357B">
      <w:pPr>
        <w:numPr>
          <w:ilvl w:val="0"/>
          <w:numId w:val="0"/>
        </w:numPr>
        <w:spacing w:line="360" w:lineRule="auto"/>
        <w:ind w:firstLine="480" w:firstLineChars="200"/>
        <w:rPr>
          <w:rFonts w:hint="eastAsia" w:ascii="宋体" w:hAnsi="宋体"/>
          <w:b w:val="0"/>
          <w:bCs/>
          <w:color w:val="auto"/>
          <w:sz w:val="24"/>
          <w:szCs w:val="24"/>
          <w:highlight w:val="none"/>
          <w:u w:val="none"/>
          <w:lang w:val="en-US" w:eastAsia="zh-CN"/>
        </w:rPr>
      </w:pPr>
      <w:r>
        <w:rPr>
          <w:rFonts w:hint="eastAsia" w:ascii="宋体" w:hAnsi="宋体"/>
          <w:b w:val="0"/>
          <w:bCs/>
          <w:color w:val="auto"/>
          <w:sz w:val="24"/>
          <w:szCs w:val="24"/>
          <w:highlight w:val="none"/>
          <w:u w:val="none"/>
          <w:lang w:val="en-US" w:eastAsia="zh-CN"/>
        </w:rPr>
        <w:t>（4）本工程除主要材料按信息价调差，辅助材料一律不予调差。</w:t>
      </w:r>
    </w:p>
    <w:p w14:paraId="75E25532">
      <w:pPr>
        <w:numPr>
          <w:ilvl w:val="0"/>
          <w:numId w:val="0"/>
        </w:numPr>
        <w:spacing w:line="360" w:lineRule="auto"/>
        <w:ind w:firstLine="480" w:firstLineChars="200"/>
        <w:rPr>
          <w:rFonts w:hint="eastAsia" w:ascii="宋体" w:hAnsi="宋体"/>
          <w:b w:val="0"/>
          <w:bCs/>
          <w:color w:val="auto"/>
          <w:sz w:val="24"/>
          <w:szCs w:val="24"/>
          <w:highlight w:val="none"/>
          <w:u w:val="none"/>
        </w:rPr>
      </w:pPr>
      <w:r>
        <w:rPr>
          <w:rFonts w:hint="eastAsia" w:ascii="宋体" w:hAnsi="宋体"/>
          <w:b w:val="0"/>
          <w:bCs/>
          <w:color w:val="auto"/>
          <w:sz w:val="24"/>
          <w:szCs w:val="24"/>
          <w:highlight w:val="none"/>
          <w:u w:val="none"/>
          <w:lang w:val="en-US" w:eastAsia="zh-CN"/>
        </w:rPr>
        <w:t>19.2.3.4</w:t>
      </w:r>
      <w:r>
        <w:rPr>
          <w:rFonts w:hint="eastAsia" w:ascii="宋体" w:hAnsi="宋体"/>
          <w:b w:val="0"/>
          <w:bCs/>
          <w:color w:val="auto"/>
          <w:sz w:val="24"/>
          <w:highlight w:val="none"/>
          <w:u w:val="none"/>
        </w:rPr>
        <w:t>税金按 9 %计取（合同履行期间如国家税率调整，则合同适用税率进行相应变更，不含税价保持不变）</w:t>
      </w:r>
      <w:r>
        <w:rPr>
          <w:rFonts w:hint="eastAsia" w:ascii="宋体" w:hAnsi="宋体"/>
          <w:b w:val="0"/>
          <w:bCs/>
          <w:color w:val="auto"/>
          <w:sz w:val="24"/>
          <w:szCs w:val="24"/>
          <w:highlight w:val="none"/>
          <w:u w:val="none"/>
        </w:rPr>
        <w:t>。</w:t>
      </w:r>
    </w:p>
    <w:p w14:paraId="142D8B05">
      <w:pPr>
        <w:numPr>
          <w:ilvl w:val="0"/>
          <w:numId w:val="0"/>
        </w:numPr>
        <w:spacing w:line="360" w:lineRule="auto"/>
        <w:ind w:firstLine="482" w:firstLineChars="200"/>
        <w:rPr>
          <w:rFonts w:hint="eastAsia" w:ascii="宋体" w:hAnsi="宋体"/>
          <w:b/>
          <w:bCs w:val="0"/>
          <w:color w:val="auto"/>
          <w:sz w:val="24"/>
          <w:szCs w:val="24"/>
          <w:highlight w:val="none"/>
          <w:u w:val="none"/>
          <w:lang w:val="en-US" w:eastAsia="zh-CN"/>
        </w:rPr>
      </w:pPr>
      <w:r>
        <w:rPr>
          <w:rFonts w:hint="eastAsia" w:ascii="宋体" w:hAnsi="宋体"/>
          <w:b/>
          <w:bCs w:val="0"/>
          <w:color w:val="auto"/>
          <w:sz w:val="24"/>
          <w:szCs w:val="24"/>
          <w:highlight w:val="none"/>
          <w:u w:val="none"/>
          <w:lang w:val="en-US" w:eastAsia="zh-CN"/>
        </w:rPr>
        <w:t>19.2 其他</w:t>
      </w:r>
    </w:p>
    <w:p w14:paraId="7894AA8B">
      <w:pPr>
        <w:numPr>
          <w:ilvl w:val="0"/>
          <w:numId w:val="0"/>
        </w:numPr>
        <w:spacing w:line="360" w:lineRule="auto"/>
        <w:ind w:firstLine="480" w:firstLineChars="200"/>
        <w:rPr>
          <w:rFonts w:hint="eastAsia" w:ascii="宋体" w:hAnsi="宋体"/>
          <w:b w:val="0"/>
          <w:bCs/>
          <w:color w:val="auto"/>
          <w:sz w:val="24"/>
          <w:highlight w:val="none"/>
          <w:u w:val="none"/>
          <w:lang w:eastAsia="zh-CN"/>
        </w:rPr>
      </w:pPr>
      <w:r>
        <w:rPr>
          <w:rFonts w:hint="eastAsia" w:ascii="宋体" w:hAnsi="宋体"/>
          <w:b w:val="0"/>
          <w:bCs/>
          <w:color w:val="auto"/>
          <w:sz w:val="24"/>
          <w:szCs w:val="24"/>
          <w:highlight w:val="none"/>
          <w:u w:val="none"/>
          <w:lang w:val="en-US" w:eastAsia="zh-CN"/>
        </w:rPr>
        <w:t>（1）</w:t>
      </w:r>
      <w:r>
        <w:rPr>
          <w:rFonts w:hint="eastAsia" w:ascii="宋体" w:hAnsi="宋体"/>
          <w:b w:val="0"/>
          <w:bCs/>
          <w:color w:val="auto"/>
          <w:sz w:val="24"/>
          <w:highlight w:val="none"/>
          <w:u w:val="none"/>
        </w:rPr>
        <w:t>本工程不计取远征工程增加费、特殊地区施工增加费、承包人在发包人企业范围内各单位工程间的机械转移费</w:t>
      </w:r>
      <w:r>
        <w:rPr>
          <w:rFonts w:hint="eastAsia" w:ascii="宋体" w:hAnsi="宋体"/>
          <w:b w:val="0"/>
          <w:bCs/>
          <w:color w:val="auto"/>
          <w:sz w:val="24"/>
          <w:highlight w:val="none"/>
          <w:u w:val="none"/>
          <w:lang w:eastAsia="zh-CN"/>
        </w:rPr>
        <w:t>。</w:t>
      </w:r>
    </w:p>
    <w:p w14:paraId="17E6F2AE">
      <w:pPr>
        <w:numPr>
          <w:ilvl w:val="0"/>
          <w:numId w:val="0"/>
        </w:numPr>
        <w:spacing w:line="360" w:lineRule="auto"/>
        <w:ind w:firstLine="480" w:firstLineChars="200"/>
        <w:rPr>
          <w:rFonts w:hint="eastAsia" w:ascii="宋体" w:hAnsi="宋体"/>
          <w:b w:val="0"/>
          <w:bCs/>
          <w:color w:val="auto"/>
          <w:sz w:val="24"/>
          <w:highlight w:val="none"/>
          <w:u w:val="none"/>
        </w:rPr>
      </w:pPr>
      <w:r>
        <w:rPr>
          <w:rFonts w:hint="eastAsia" w:ascii="宋体" w:hAnsi="宋体"/>
          <w:b w:val="0"/>
          <w:bCs/>
          <w:color w:val="auto"/>
          <w:sz w:val="24"/>
          <w:highlight w:val="none"/>
          <w:u w:val="none"/>
          <w:lang w:eastAsia="zh-CN"/>
        </w:rPr>
        <w:t>（</w:t>
      </w:r>
      <w:r>
        <w:rPr>
          <w:rFonts w:hint="eastAsia" w:ascii="宋体" w:hAnsi="宋体"/>
          <w:b w:val="0"/>
          <w:bCs/>
          <w:color w:val="auto"/>
          <w:sz w:val="24"/>
          <w:highlight w:val="none"/>
          <w:u w:val="none"/>
          <w:lang w:val="en-US" w:eastAsia="zh-CN"/>
        </w:rPr>
        <w:t>2</w:t>
      </w:r>
      <w:r>
        <w:rPr>
          <w:rFonts w:hint="eastAsia" w:ascii="宋体" w:hAnsi="宋体"/>
          <w:b w:val="0"/>
          <w:bCs/>
          <w:color w:val="auto"/>
          <w:sz w:val="24"/>
          <w:highlight w:val="none"/>
          <w:u w:val="none"/>
          <w:lang w:eastAsia="zh-CN"/>
        </w:rPr>
        <w:t>）</w:t>
      </w:r>
      <w:r>
        <w:rPr>
          <w:rFonts w:hint="eastAsia" w:ascii="宋体" w:hAnsi="宋体"/>
          <w:b w:val="0"/>
          <w:bCs/>
          <w:color w:val="auto"/>
          <w:sz w:val="24"/>
          <w:highlight w:val="none"/>
          <w:u w:val="none"/>
        </w:rPr>
        <w:t>本工程施工道路的维护由承包人承担，不再单独计取费用。</w:t>
      </w:r>
    </w:p>
    <w:p w14:paraId="259D460E">
      <w:pPr>
        <w:numPr>
          <w:ilvl w:val="0"/>
          <w:numId w:val="0"/>
        </w:numPr>
        <w:spacing w:line="360" w:lineRule="auto"/>
        <w:ind w:firstLine="480" w:firstLineChars="200"/>
        <w:rPr>
          <w:rFonts w:hint="eastAsia" w:ascii="宋体" w:hAnsi="宋体"/>
          <w:b w:val="0"/>
          <w:bCs/>
          <w:color w:val="auto"/>
          <w:sz w:val="24"/>
          <w:highlight w:val="none"/>
          <w:u w:val="none"/>
        </w:rPr>
      </w:pPr>
      <w:r>
        <w:rPr>
          <w:rFonts w:hint="eastAsia" w:ascii="宋体" w:hAnsi="宋体"/>
          <w:b w:val="0"/>
          <w:bCs/>
          <w:color w:val="auto"/>
          <w:sz w:val="24"/>
          <w:highlight w:val="none"/>
          <w:u w:val="none"/>
          <w:lang w:eastAsia="zh-CN"/>
        </w:rPr>
        <w:t>（</w:t>
      </w:r>
      <w:r>
        <w:rPr>
          <w:rFonts w:hint="eastAsia" w:ascii="宋体" w:hAnsi="宋体"/>
          <w:b w:val="0"/>
          <w:bCs/>
          <w:color w:val="auto"/>
          <w:sz w:val="24"/>
          <w:highlight w:val="none"/>
          <w:u w:val="none"/>
          <w:lang w:val="en-US" w:eastAsia="zh-CN"/>
        </w:rPr>
        <w:t>3</w:t>
      </w:r>
      <w:r>
        <w:rPr>
          <w:rFonts w:hint="eastAsia" w:ascii="宋体" w:hAnsi="宋体"/>
          <w:b w:val="0"/>
          <w:bCs/>
          <w:color w:val="auto"/>
          <w:sz w:val="24"/>
          <w:highlight w:val="none"/>
          <w:u w:val="none"/>
          <w:lang w:eastAsia="zh-CN"/>
        </w:rPr>
        <w:t>）</w:t>
      </w:r>
      <w:r>
        <w:rPr>
          <w:rFonts w:hint="eastAsia" w:ascii="宋体" w:hAnsi="宋体"/>
          <w:b w:val="0"/>
          <w:bCs/>
          <w:color w:val="auto"/>
          <w:sz w:val="24"/>
          <w:highlight w:val="none"/>
          <w:u w:val="none"/>
        </w:rPr>
        <w:t>建（构）筑物的基础开挖时的坑边安全防护含在安全文明施工费中，不再单独计取。</w:t>
      </w:r>
    </w:p>
    <w:p w14:paraId="44530F77">
      <w:pPr>
        <w:numPr>
          <w:ilvl w:val="0"/>
          <w:numId w:val="0"/>
        </w:numPr>
        <w:spacing w:line="360" w:lineRule="auto"/>
        <w:ind w:firstLine="480" w:firstLineChars="200"/>
        <w:rPr>
          <w:rFonts w:hint="eastAsia" w:ascii="宋体" w:hAnsi="宋体"/>
          <w:b w:val="0"/>
          <w:bCs/>
          <w:color w:val="auto"/>
          <w:sz w:val="24"/>
          <w:highlight w:val="none"/>
          <w:u w:val="none"/>
        </w:rPr>
      </w:pPr>
      <w:r>
        <w:rPr>
          <w:rFonts w:hint="eastAsia" w:ascii="宋体" w:hAnsi="宋体"/>
          <w:b w:val="0"/>
          <w:bCs/>
          <w:color w:val="auto"/>
          <w:sz w:val="24"/>
          <w:highlight w:val="none"/>
          <w:u w:val="none"/>
          <w:lang w:eastAsia="zh-CN"/>
        </w:rPr>
        <w:t>（</w:t>
      </w:r>
      <w:r>
        <w:rPr>
          <w:rFonts w:hint="eastAsia" w:ascii="宋体" w:hAnsi="宋体"/>
          <w:b w:val="0"/>
          <w:bCs/>
          <w:color w:val="auto"/>
          <w:sz w:val="24"/>
          <w:highlight w:val="none"/>
          <w:u w:val="none"/>
          <w:lang w:val="en-US" w:eastAsia="zh-CN"/>
        </w:rPr>
        <w:t>4</w:t>
      </w:r>
      <w:r>
        <w:rPr>
          <w:rFonts w:hint="eastAsia" w:ascii="宋体" w:hAnsi="宋体"/>
          <w:b w:val="0"/>
          <w:bCs/>
          <w:color w:val="auto"/>
          <w:sz w:val="24"/>
          <w:highlight w:val="none"/>
          <w:u w:val="none"/>
          <w:lang w:eastAsia="zh-CN"/>
        </w:rPr>
        <w:t>）</w:t>
      </w:r>
      <w:r>
        <w:rPr>
          <w:rFonts w:hint="eastAsia" w:ascii="宋体" w:hAnsi="宋体"/>
          <w:b w:val="0"/>
          <w:bCs/>
          <w:color w:val="auto"/>
          <w:sz w:val="24"/>
          <w:highlight w:val="none"/>
          <w:u w:val="none"/>
        </w:rPr>
        <w:t>签证零星用工、零星机械台班不下浮，不计取其他费用。</w:t>
      </w:r>
    </w:p>
    <w:p w14:paraId="3DE90F14">
      <w:pPr>
        <w:autoSpaceDE w:val="0"/>
        <w:autoSpaceDN w:val="0"/>
        <w:adjustRightInd w:val="0"/>
        <w:spacing w:line="360" w:lineRule="auto"/>
        <w:ind w:firstLine="480" w:firstLineChars="200"/>
        <w:jc w:val="left"/>
        <w:rPr>
          <w:rFonts w:ascii="宋体" w:hAnsi="宋体"/>
          <w:b w:val="0"/>
          <w:bCs/>
          <w:color w:val="auto"/>
          <w:kern w:val="0"/>
          <w:sz w:val="24"/>
          <w:szCs w:val="24"/>
          <w:highlight w:val="none"/>
          <w:u w:val="single"/>
        </w:rPr>
      </w:pPr>
      <w:r>
        <w:rPr>
          <w:rFonts w:hint="eastAsia" w:ascii="宋体" w:hAnsi="宋体"/>
          <w:b w:val="0"/>
          <w:bCs/>
          <w:color w:val="auto"/>
          <w:sz w:val="24"/>
          <w:highlight w:val="none"/>
          <w:u w:val="none"/>
          <w:lang w:eastAsia="zh-CN"/>
        </w:rPr>
        <w:t>、</w:t>
      </w:r>
      <w:r>
        <w:rPr>
          <w:rFonts w:hint="eastAsia" w:ascii="宋体" w:hAnsi="宋体" w:cs="宋体"/>
          <w:b/>
          <w:bCs w:val="0"/>
          <w:color w:val="auto"/>
          <w:sz w:val="24"/>
          <w:szCs w:val="24"/>
          <w:highlight w:val="none"/>
        </w:rPr>
        <w:t>第</w:t>
      </w:r>
      <w:r>
        <w:rPr>
          <w:rFonts w:ascii="宋体" w:hAnsi="宋体"/>
          <w:b/>
          <w:bCs w:val="0"/>
          <w:color w:val="auto"/>
          <w:sz w:val="24"/>
          <w:szCs w:val="24"/>
          <w:highlight w:val="none"/>
        </w:rPr>
        <w:t>20</w:t>
      </w:r>
      <w:r>
        <w:rPr>
          <w:rFonts w:hint="eastAsia" w:ascii="宋体" w:hAnsi="宋体" w:cs="宋体"/>
          <w:b/>
          <w:bCs w:val="0"/>
          <w:color w:val="auto"/>
          <w:sz w:val="24"/>
          <w:szCs w:val="24"/>
          <w:highlight w:val="none"/>
        </w:rPr>
        <w:t>条</w:t>
      </w:r>
      <w:r>
        <w:rPr>
          <w:rFonts w:ascii="宋体" w:hAnsi="宋体"/>
          <w:b/>
          <w:bCs w:val="0"/>
          <w:color w:val="auto"/>
          <w:sz w:val="24"/>
          <w:szCs w:val="24"/>
          <w:highlight w:val="none"/>
        </w:rPr>
        <w:t xml:space="preserve"> </w:t>
      </w:r>
      <w:r>
        <w:rPr>
          <w:rFonts w:hint="eastAsia" w:ascii="宋体" w:hAnsi="宋体" w:cs="宋体"/>
          <w:b/>
          <w:bCs w:val="0"/>
          <w:color w:val="auto"/>
          <w:sz w:val="24"/>
          <w:szCs w:val="24"/>
          <w:highlight w:val="none"/>
        </w:rPr>
        <w:t>工程进度报表中工程量的核实确认</w:t>
      </w:r>
    </w:p>
    <w:p w14:paraId="6D3DCA1D">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ascii="宋体" w:hAnsi="宋体"/>
          <w:color w:val="auto"/>
          <w:kern w:val="0"/>
          <w:sz w:val="24"/>
          <w:szCs w:val="24"/>
          <w:highlight w:val="none"/>
        </w:rPr>
        <w:t>1.</w:t>
      </w:r>
      <w:r>
        <w:rPr>
          <w:rFonts w:hint="eastAsia" w:ascii="宋体" w:hAnsi="宋体"/>
          <w:color w:val="auto"/>
          <w:kern w:val="0"/>
          <w:sz w:val="24"/>
          <w:szCs w:val="24"/>
          <w:highlight w:val="none"/>
        </w:rPr>
        <w:t>乙方应在每月20日前，向甲方提交本月已完工程量的报告和下月工程进度计划、下月材料使用计划、下月预计工程量的计划。</w:t>
      </w:r>
    </w:p>
    <w:p w14:paraId="53727167">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ascii="宋体" w:hAnsi="宋体"/>
          <w:color w:val="auto"/>
          <w:kern w:val="0"/>
          <w:sz w:val="24"/>
          <w:szCs w:val="24"/>
          <w:highlight w:val="none"/>
        </w:rPr>
        <w:t>2</w:t>
      </w:r>
      <w:r>
        <w:rPr>
          <w:rFonts w:hint="eastAsia" w:ascii="宋体" w:hAnsi="宋体"/>
          <w:color w:val="auto"/>
          <w:kern w:val="0"/>
          <w:sz w:val="24"/>
          <w:szCs w:val="24"/>
          <w:highlight w:val="none"/>
        </w:rPr>
        <w:t>.其它按通用条款执行。</w:t>
      </w:r>
    </w:p>
    <w:p w14:paraId="7D82FDE9">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36" w:name="_Toc72846893"/>
      <w:bookmarkStart w:id="437" w:name="_Toc72846742"/>
      <w:r>
        <w:rPr>
          <w:rFonts w:hint="eastAsia" w:ascii="宋体" w:hAnsi="宋体"/>
          <w:b/>
          <w:bCs/>
          <w:color w:val="auto"/>
          <w:spacing w:val="6"/>
          <w:szCs w:val="24"/>
          <w:highlight w:val="none"/>
        </w:rPr>
        <w:t>七、工程交付使用与结算</w:t>
      </w:r>
      <w:bookmarkEnd w:id="436"/>
      <w:bookmarkEnd w:id="437"/>
    </w:p>
    <w:p w14:paraId="1E422453">
      <w:pPr>
        <w:autoSpaceDE w:val="0"/>
        <w:autoSpaceDN w:val="0"/>
        <w:adjustRightInd w:val="0"/>
        <w:spacing w:line="360" w:lineRule="auto"/>
        <w:ind w:firstLine="482" w:firstLineChars="200"/>
        <w:jc w:val="left"/>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21</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工程交付使用</w:t>
      </w:r>
    </w:p>
    <w:p w14:paraId="27D66B0B">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1</w:t>
      </w:r>
      <w:r>
        <w:rPr>
          <w:rFonts w:ascii="宋体" w:hAnsi="宋体"/>
          <w:color w:val="auto"/>
          <w:kern w:val="0"/>
          <w:sz w:val="24"/>
          <w:szCs w:val="24"/>
          <w:highlight w:val="none"/>
        </w:rPr>
        <w:t>.</w:t>
      </w:r>
      <w:r>
        <w:rPr>
          <w:rFonts w:hint="eastAsia" w:ascii="宋体" w:hAnsi="宋体"/>
          <w:color w:val="auto"/>
          <w:kern w:val="0"/>
          <w:sz w:val="24"/>
          <w:szCs w:val="24"/>
          <w:highlight w:val="none"/>
        </w:rPr>
        <w:t>承包人提供竣工图的约定：竣工验收后30天内承包人向发包人提供竣工资料及竣工图三份。</w:t>
      </w:r>
      <w:r>
        <w:rPr>
          <w:rFonts w:ascii="宋体" w:hAnsi="宋体"/>
          <w:color w:val="auto"/>
          <w:kern w:val="0"/>
          <w:sz w:val="24"/>
          <w:szCs w:val="24"/>
          <w:highlight w:val="none"/>
        </w:rPr>
        <w:t>竣工验收报告被认可视为工程竣工验收通过，并以组织验收之日为实际竣工日期。</w:t>
      </w:r>
    </w:p>
    <w:p w14:paraId="38AFE33D">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ascii="宋体" w:hAnsi="宋体"/>
          <w:color w:val="auto"/>
          <w:kern w:val="0"/>
          <w:sz w:val="24"/>
          <w:szCs w:val="24"/>
          <w:highlight w:val="none"/>
        </w:rPr>
        <w:t>2.</w:t>
      </w:r>
      <w:r>
        <w:rPr>
          <w:rFonts w:hint="eastAsia" w:ascii="宋体" w:hAnsi="宋体"/>
          <w:color w:val="auto"/>
          <w:kern w:val="0"/>
          <w:sz w:val="24"/>
          <w:szCs w:val="24"/>
          <w:highlight w:val="none"/>
        </w:rPr>
        <w:t>中间交工工程的范围和交工时间：按审定的施工组织设计及承包人承诺的竣工时间。</w:t>
      </w:r>
    </w:p>
    <w:p w14:paraId="6308D00B">
      <w:pPr>
        <w:autoSpaceDE w:val="0"/>
        <w:autoSpaceDN w:val="0"/>
        <w:adjustRightInd w:val="0"/>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3.</w:t>
      </w:r>
      <w:r>
        <w:rPr>
          <w:rFonts w:hint="eastAsia" w:ascii="宋体" w:hAnsi="宋体"/>
          <w:color w:val="auto"/>
          <w:sz w:val="24"/>
          <w:szCs w:val="24"/>
          <w:highlight w:val="none"/>
        </w:rPr>
        <w:t>按通用条款执行。</w:t>
      </w:r>
    </w:p>
    <w:p w14:paraId="30BF0743">
      <w:pPr>
        <w:autoSpaceDE w:val="0"/>
        <w:autoSpaceDN w:val="0"/>
        <w:adjustRightInd w:val="0"/>
        <w:spacing w:line="360" w:lineRule="auto"/>
        <w:ind w:firstLine="482" w:firstLineChars="200"/>
        <w:jc w:val="left"/>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ascii="宋体" w:hAnsi="宋体"/>
          <w:b/>
          <w:bCs/>
          <w:color w:val="auto"/>
          <w:sz w:val="24"/>
          <w:szCs w:val="24"/>
          <w:highlight w:val="none"/>
        </w:rPr>
        <w:t>22</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竣工结算</w:t>
      </w:r>
    </w:p>
    <w:p w14:paraId="036BA609">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1.工程竣工验收报告经发包人认可后28天内，承包人向发包人递交竣工结算报告及结算资料，发包人收到承包人报送完整的竣工结算资料后56天内审核完毕；竣工结算价以发包人委托的审计部门审定为准。竣工结算报告经审计、双方认可、全部资料归档后14天内，发包人向承包人支付工程竣工结算价款，其它</w:t>
      </w:r>
      <w:r>
        <w:rPr>
          <w:rFonts w:hint="eastAsia" w:ascii="宋体" w:hAnsi="宋体"/>
          <w:color w:val="auto"/>
          <w:sz w:val="24"/>
          <w:szCs w:val="24"/>
          <w:highlight w:val="none"/>
        </w:rPr>
        <w:t>按通用条款执行</w:t>
      </w:r>
      <w:r>
        <w:rPr>
          <w:rFonts w:hint="eastAsia" w:ascii="宋体" w:hAnsi="宋体"/>
          <w:color w:val="auto"/>
          <w:kern w:val="0"/>
          <w:sz w:val="24"/>
          <w:szCs w:val="24"/>
          <w:highlight w:val="none"/>
        </w:rPr>
        <w:t>。</w:t>
      </w:r>
    </w:p>
    <w:p w14:paraId="6CB539CF">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工程结算价编制要求</w:t>
      </w:r>
      <w:r>
        <w:rPr>
          <w:rFonts w:hint="eastAsia" w:ascii="宋体" w:hAnsi="宋体"/>
          <w:color w:val="auto"/>
          <w:kern w:val="0"/>
          <w:sz w:val="24"/>
          <w:szCs w:val="24"/>
          <w:highlight w:val="none"/>
          <w:lang w:eastAsia="zh-CN"/>
        </w:rPr>
        <w:t>：</w:t>
      </w:r>
    </w:p>
    <w:p w14:paraId="53DD09A3">
      <w:pPr>
        <w:autoSpaceDE w:val="0"/>
        <w:autoSpaceDN w:val="0"/>
        <w:adjustRightInd w:val="0"/>
        <w:spacing w:line="360" w:lineRule="auto"/>
        <w:ind w:firstLine="480" w:firstLineChars="200"/>
        <w:jc w:val="left"/>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（一）合同工程量清单范围内的价格以中标价为准，结算时除以下原因外不予调整；</w:t>
      </w:r>
    </w:p>
    <w:p w14:paraId="0CEFD697">
      <w:pPr>
        <w:autoSpaceDE w:val="0"/>
        <w:autoSpaceDN w:val="0"/>
        <w:adjustRightInd w:val="0"/>
        <w:spacing w:line="360" w:lineRule="auto"/>
        <w:ind w:firstLine="480" w:firstLineChars="200"/>
        <w:jc w:val="left"/>
        <w:rPr>
          <w:rFonts w:hint="eastAsia" w:ascii="宋体" w:hAnsi="宋体" w:eastAsia="宋体"/>
          <w:color w:val="auto"/>
          <w:kern w:val="0"/>
          <w:sz w:val="24"/>
          <w:szCs w:val="24"/>
          <w:highlight w:val="none"/>
        </w:rPr>
      </w:pPr>
      <w:r>
        <w:rPr>
          <w:rFonts w:hint="eastAsia" w:ascii="宋体" w:hAnsi="宋体" w:eastAsia="宋体"/>
          <w:color w:val="auto"/>
          <w:kern w:val="0"/>
          <w:sz w:val="24"/>
          <w:szCs w:val="24"/>
          <w:highlight w:val="none"/>
        </w:rPr>
        <w:t xml:space="preserve">（1）招标工程量清单中出现缺项、工程量偏差，或者招标工程量清单任一项目的特征描述与招标施工图纸不符的，承包人应在签订施工合同后一个月内向招标人提出，双方按现行《建设工程工程量清单计价规范》（GB50500-2013）、《有色金属工业矿山工程量清单计价规范(2013)》和《浙江省市政工程预算定额（2018版）》、《浙江省园林绿化及仿古建筑工程预算定额（2018版）》、《浙江省房屋建筑与装饰工程预算定额（2018版）》、《浙江省通用安装预算定额（2018版）》、《浙江省建设工程计价规则（2018版）》、《浙江省建设工程施工机械台班费用定额（2018版）》及省市相关造价管理文件有关规定进行调整，修正合同价。承包人在签订施工合同后一个月内未提出对工程量清单（或者要约价）的误差内容，视同无异议，招标范围内的价款不予调整。 </w:t>
      </w:r>
    </w:p>
    <w:p w14:paraId="585E09AA">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（2）经发包人签字认可的市场材料价格；</w:t>
      </w:r>
    </w:p>
    <w:p w14:paraId="5B9165B8">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（3）经设计单位发出发包人认可的设计变更；</w:t>
      </w:r>
    </w:p>
    <w:p w14:paraId="33D31825">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（4）经发包人、监理计量后签证认可的工程量变化；</w:t>
      </w:r>
    </w:p>
    <w:p w14:paraId="1D9E1FC3">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当上述情况出现需调整工程结算价时，承包必须按照合同规定的时间和手续办理。填报相关预算和签证报表，否则视为承包自动放弃该项费用。</w:t>
      </w:r>
    </w:p>
    <w:p w14:paraId="022BB146">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二）对于实际施工中的增项工程，按实际施工图纸计算工程量，若投标文件有该项综合单价，按该项综合单价执行；若投标文件无该项综合单价，则按照（三）无综合单价项目结算价计价依据编制综合单价，并按投标报价时的让利幅度同等让利。如增项部分在定额中也没有相应子目，中标人在施工前必须根据投标报价的要求进行单价分析（包括各种费用），经造价工程师、监理工程师审核并报请招标人批准后执行。</w:t>
      </w:r>
    </w:p>
    <w:p w14:paraId="14337C93">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（三）无综合单价项目结算价计价依据</w:t>
      </w:r>
    </w:p>
    <w:p w14:paraId="0E47AD49">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（1）</w:t>
      </w:r>
      <w:r>
        <w:rPr>
          <w:rFonts w:hint="eastAsia" w:hAnsi="宋体" w:cs="Times New Roman"/>
          <w:color w:val="auto"/>
          <w:kern w:val="0"/>
          <w:sz w:val="24"/>
          <w:szCs w:val="24"/>
          <w:highlight w:val="none"/>
          <w:lang w:val="en-US" w:eastAsia="zh-CN" w:bidi="ar-SA"/>
        </w:rPr>
        <w:t>矿山</w:t>
      </w:r>
      <w:r>
        <w:rPr>
          <w:rFonts w:hint="eastAsia" w:ascii="宋体" w:hAnsi="宋体" w:eastAsia="宋体" w:cs="Times New Roman"/>
          <w:color w:val="auto"/>
          <w:kern w:val="0"/>
          <w:sz w:val="24"/>
          <w:szCs w:val="24"/>
          <w:highlight w:val="none"/>
          <w:lang w:val="en-US" w:eastAsia="zh-CN" w:bidi="ar-SA"/>
        </w:rPr>
        <w:t>部分执行《矿山工程工程量计算规范(201</w:t>
      </w:r>
      <w:r>
        <w:rPr>
          <w:rFonts w:hint="eastAsia" w:hAnsi="宋体" w:cs="Times New Roman"/>
          <w:color w:val="auto"/>
          <w:kern w:val="0"/>
          <w:sz w:val="24"/>
          <w:szCs w:val="24"/>
          <w:highlight w:val="none"/>
          <w:lang w:val="en-US" w:eastAsia="zh-CN" w:bidi="ar-SA"/>
        </w:rPr>
        <w:t>3</w:t>
      </w:r>
      <w:r>
        <w:rPr>
          <w:rFonts w:hint="eastAsia" w:ascii="宋体" w:hAnsi="宋体" w:eastAsia="宋体" w:cs="Times New Roman"/>
          <w:color w:val="auto"/>
          <w:kern w:val="0"/>
          <w:sz w:val="24"/>
          <w:szCs w:val="24"/>
          <w:highlight w:val="none"/>
          <w:lang w:val="en-US" w:eastAsia="zh-CN" w:bidi="ar-SA"/>
        </w:rPr>
        <w:t>)》、套用《有色金属工业尾矿工程预算定额(2013)》及配套的费用定额；其他执行《建设工程工程量清单计价规范》GB50500-2013,套用《</w:t>
      </w:r>
      <w:r>
        <w:rPr>
          <w:rFonts w:hint="eastAsia" w:hAnsi="宋体" w:cs="Times New Roman"/>
          <w:color w:val="auto"/>
          <w:kern w:val="0"/>
          <w:sz w:val="24"/>
          <w:szCs w:val="24"/>
          <w:highlight w:val="none"/>
          <w:lang w:val="en-US" w:eastAsia="zh-CN" w:bidi="ar-SA"/>
        </w:rPr>
        <w:t>浙江</w:t>
      </w:r>
      <w:r>
        <w:rPr>
          <w:rFonts w:hint="eastAsia" w:ascii="宋体" w:hAnsi="宋体" w:eastAsia="宋体" w:cs="Times New Roman"/>
          <w:color w:val="auto"/>
          <w:kern w:val="0"/>
          <w:sz w:val="24"/>
          <w:szCs w:val="24"/>
          <w:highlight w:val="none"/>
          <w:lang w:val="en-US" w:eastAsia="zh-CN" w:bidi="ar-SA"/>
        </w:rPr>
        <w:t>省市政工程消耗量定额及统一基价表(2017)》及配套的费用定额。</w:t>
      </w:r>
    </w:p>
    <w:p w14:paraId="0933737F">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（2）</w:t>
      </w:r>
      <w:r>
        <w:rPr>
          <w:rFonts w:hint="eastAsia" w:ascii="宋体" w:hAnsi="宋体"/>
          <w:b w:val="0"/>
          <w:bCs/>
          <w:color w:val="auto"/>
          <w:sz w:val="24"/>
          <w:szCs w:val="24"/>
          <w:highlight w:val="none"/>
          <w:u w:val="none"/>
          <w:lang w:val="en-US" w:eastAsia="zh-CN"/>
        </w:rPr>
        <w:t>材料价格依次按2025年4月《浙江造价信息》公布的衢州、金华、丽水、省综合的材料价格执行，信息价中没有的材料、设备或发包人认为不适宜套用定额的，由乙方于施工使用前30天提交批价申请，经甲方市场询价审定，事后不予受理。</w:t>
      </w:r>
    </w:p>
    <w:p w14:paraId="2104D149">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（3）本项目有色定额的人工费按定额价不调整，施工期间国家、行业、省级政策性调整文件不参照执行。</w:t>
      </w:r>
    </w:p>
    <w:p w14:paraId="76DBD3A2">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w:t>
      </w:r>
      <w:r>
        <w:rPr>
          <w:rFonts w:hint="eastAsia" w:hAnsi="宋体" w:cs="Times New Roman"/>
          <w:color w:val="auto"/>
          <w:kern w:val="0"/>
          <w:sz w:val="24"/>
          <w:szCs w:val="24"/>
          <w:highlight w:val="none"/>
          <w:lang w:val="en-US" w:eastAsia="zh-CN" w:bidi="ar-SA"/>
        </w:rPr>
        <w:t>4</w:t>
      </w:r>
      <w:r>
        <w:rPr>
          <w:rFonts w:hint="eastAsia" w:ascii="宋体" w:hAnsi="宋体" w:eastAsia="宋体" w:cs="Times New Roman"/>
          <w:color w:val="auto"/>
          <w:kern w:val="0"/>
          <w:sz w:val="24"/>
          <w:szCs w:val="24"/>
          <w:highlight w:val="none"/>
          <w:lang w:val="en-US" w:eastAsia="zh-CN" w:bidi="ar-SA"/>
        </w:rPr>
        <w:t>）本工程除主要材料按信息价调差，辅助材料一律不予调差。</w:t>
      </w:r>
    </w:p>
    <w:p w14:paraId="704BC6FD">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w:t>
      </w:r>
      <w:r>
        <w:rPr>
          <w:rFonts w:hint="eastAsia" w:hAnsi="宋体" w:cs="Times New Roman"/>
          <w:color w:val="auto"/>
          <w:kern w:val="0"/>
          <w:sz w:val="24"/>
          <w:szCs w:val="24"/>
          <w:highlight w:val="none"/>
          <w:lang w:val="en-US" w:eastAsia="zh-CN" w:bidi="ar-SA"/>
        </w:rPr>
        <w:t>5</w:t>
      </w:r>
      <w:r>
        <w:rPr>
          <w:rFonts w:hint="eastAsia" w:ascii="宋体" w:hAnsi="宋体" w:eastAsia="宋体" w:cs="Times New Roman"/>
          <w:color w:val="auto"/>
          <w:kern w:val="0"/>
          <w:sz w:val="24"/>
          <w:szCs w:val="24"/>
          <w:highlight w:val="none"/>
          <w:lang w:val="en-US" w:eastAsia="zh-CN" w:bidi="ar-SA"/>
        </w:rPr>
        <w:t>）安全文明施工措施费预算时按定额有关规定计取，结算时按招标人的综合考评结果调整。在施工过程中，安全生产、文明施工措施费专款专用、不得挪为它用。</w:t>
      </w:r>
    </w:p>
    <w:p w14:paraId="66F1098B">
      <w:pPr>
        <w:pStyle w:val="27"/>
        <w:rPr>
          <w:rFonts w:hint="eastAsia" w:ascii="宋体" w:hAnsi="宋体" w:eastAsia="宋体" w:cs="Times New Roman"/>
          <w:color w:val="auto"/>
          <w:kern w:val="0"/>
          <w:sz w:val="24"/>
          <w:szCs w:val="24"/>
          <w:highlight w:val="none"/>
          <w:lang w:val="en-US" w:eastAsia="zh-CN" w:bidi="ar-SA"/>
        </w:rPr>
      </w:pPr>
      <w:r>
        <w:rPr>
          <w:rFonts w:hint="eastAsia" w:ascii="宋体" w:hAnsi="宋体" w:eastAsia="宋体" w:cs="Times New Roman"/>
          <w:color w:val="auto"/>
          <w:kern w:val="0"/>
          <w:sz w:val="24"/>
          <w:szCs w:val="24"/>
          <w:highlight w:val="none"/>
          <w:lang w:val="en-US" w:eastAsia="zh-CN" w:bidi="ar-SA"/>
        </w:rPr>
        <w:t>（</w:t>
      </w:r>
      <w:r>
        <w:rPr>
          <w:rFonts w:hint="eastAsia" w:hAnsi="宋体" w:cs="Times New Roman"/>
          <w:color w:val="auto"/>
          <w:kern w:val="0"/>
          <w:sz w:val="24"/>
          <w:szCs w:val="24"/>
          <w:highlight w:val="none"/>
          <w:lang w:val="en-US" w:eastAsia="zh-CN" w:bidi="ar-SA"/>
        </w:rPr>
        <w:t>6</w:t>
      </w:r>
      <w:r>
        <w:rPr>
          <w:rFonts w:hint="eastAsia" w:ascii="宋体" w:hAnsi="宋体" w:eastAsia="宋体" w:cs="Times New Roman"/>
          <w:color w:val="auto"/>
          <w:kern w:val="0"/>
          <w:sz w:val="24"/>
          <w:szCs w:val="24"/>
          <w:highlight w:val="none"/>
          <w:lang w:val="en-US" w:eastAsia="zh-CN" w:bidi="ar-SA"/>
        </w:rPr>
        <w:t>）由发包人、承包人一致同意的变更、签证和价格调整等按投标报价时的让利幅度同等让利。</w:t>
      </w:r>
    </w:p>
    <w:p w14:paraId="6A75FF57">
      <w:pPr>
        <w:autoSpaceDE w:val="0"/>
        <w:autoSpaceDN w:val="0"/>
        <w:adjustRightInd w:val="0"/>
        <w:spacing w:line="360" w:lineRule="auto"/>
        <w:ind w:firstLine="480" w:firstLineChars="200"/>
        <w:jc w:val="left"/>
        <w:rPr>
          <w:rFonts w:hint="default" w:ascii="宋体" w:hAnsi="宋体" w:eastAsia="宋体"/>
          <w:color w:val="auto"/>
          <w:sz w:val="24"/>
          <w:szCs w:val="24"/>
          <w:highlight w:val="none"/>
          <w:lang w:val="en-US" w:eastAsia="zh-CN"/>
        </w:rPr>
      </w:pPr>
      <w:r>
        <w:rPr>
          <w:rFonts w:ascii="宋体" w:hAnsi="宋体"/>
          <w:color w:val="auto"/>
          <w:sz w:val="24"/>
          <w:szCs w:val="24"/>
          <w:highlight w:val="none"/>
        </w:rPr>
        <w:t>2.</w:t>
      </w:r>
      <w:r>
        <w:rPr>
          <w:rFonts w:hint="eastAsia" w:ascii="宋体" w:hAnsi="宋体"/>
          <w:color w:val="auto"/>
          <w:sz w:val="24"/>
          <w:szCs w:val="24"/>
          <w:highlight w:val="none"/>
        </w:rPr>
        <w:t xml:space="preserve"> 竣工结算按实际完成的工程量计算，经结算审计后确认。</w:t>
      </w:r>
    </w:p>
    <w:p w14:paraId="60A03C22">
      <w:pPr>
        <w:autoSpaceDE w:val="0"/>
        <w:autoSpaceDN w:val="0"/>
        <w:adjustRightInd w:val="0"/>
        <w:spacing w:line="360" w:lineRule="auto"/>
        <w:ind w:firstLine="480" w:firstLineChars="200"/>
        <w:jc w:val="left"/>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3.施工用水、</w:t>
      </w:r>
      <w:r>
        <w:rPr>
          <w:rFonts w:hint="eastAsia" w:ascii="宋体" w:hAnsi="宋体"/>
          <w:color w:val="auto"/>
          <w:sz w:val="24"/>
          <w:szCs w:val="24"/>
          <w:highlight w:val="none"/>
          <w:lang w:val="en-US" w:eastAsia="zh-CN"/>
        </w:rPr>
        <w:t>电费结算方式</w:t>
      </w:r>
    </w:p>
    <w:p w14:paraId="595BBDEC">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（1）</w:t>
      </w:r>
      <w:r>
        <w:rPr>
          <w:rFonts w:ascii="宋体" w:hAnsi="宋体"/>
          <w:color w:val="auto"/>
          <w:sz w:val="24"/>
          <w:szCs w:val="24"/>
          <w:highlight w:val="none"/>
        </w:rPr>
        <w:t>电费单价补差方法</w:t>
      </w:r>
    </w:p>
    <w:p w14:paraId="4D441B3C">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 xml:space="preserve">实际用电单价（P）=施工过程当中缴纳电费总价（需除税后计算）/定额结算共计用电量）； </w:t>
      </w:r>
    </w:p>
    <w:p w14:paraId="75030B4D">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当P＞</w:t>
      </w:r>
      <w:r>
        <w:rPr>
          <w:rFonts w:ascii="宋体" w:hAnsi="宋体"/>
          <w:color w:val="auto"/>
          <w:sz w:val="24"/>
          <w:szCs w:val="24"/>
          <w:highlight w:val="none"/>
        </w:rPr>
        <w:t>0.56</w:t>
      </w:r>
      <w:r>
        <w:rPr>
          <w:rFonts w:hint="eastAsia" w:ascii="宋体" w:hAnsi="宋体"/>
          <w:color w:val="auto"/>
          <w:sz w:val="24"/>
          <w:szCs w:val="24"/>
          <w:highlight w:val="none"/>
        </w:rPr>
        <w:t>*(1+10%)时，单价调差方法：P-</w:t>
      </w:r>
      <w:r>
        <w:rPr>
          <w:rFonts w:ascii="宋体" w:hAnsi="宋体"/>
          <w:color w:val="auto"/>
          <w:sz w:val="24"/>
          <w:szCs w:val="24"/>
          <w:highlight w:val="none"/>
        </w:rPr>
        <w:t>0.56</w:t>
      </w:r>
      <w:r>
        <w:rPr>
          <w:rFonts w:hint="eastAsia" w:ascii="宋体" w:hAnsi="宋体"/>
          <w:color w:val="auto"/>
          <w:sz w:val="24"/>
          <w:szCs w:val="24"/>
          <w:highlight w:val="none"/>
        </w:rPr>
        <w:t>*（1+10%）</w:t>
      </w:r>
    </w:p>
    <w:p w14:paraId="2F89BAB7">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当P＜</w:t>
      </w:r>
      <w:r>
        <w:rPr>
          <w:rFonts w:ascii="宋体" w:hAnsi="宋体"/>
          <w:color w:val="auto"/>
          <w:sz w:val="24"/>
          <w:szCs w:val="24"/>
          <w:highlight w:val="none"/>
        </w:rPr>
        <w:t>0.56</w:t>
      </w:r>
      <w:r>
        <w:rPr>
          <w:rFonts w:hint="eastAsia" w:ascii="宋体" w:hAnsi="宋体"/>
          <w:color w:val="auto"/>
          <w:sz w:val="24"/>
          <w:szCs w:val="24"/>
          <w:highlight w:val="none"/>
        </w:rPr>
        <w:t>*(1-10%)时，单价调差方法：P-</w:t>
      </w:r>
      <w:r>
        <w:rPr>
          <w:rFonts w:ascii="宋体" w:hAnsi="宋体"/>
          <w:color w:val="auto"/>
          <w:sz w:val="24"/>
          <w:szCs w:val="24"/>
          <w:highlight w:val="none"/>
        </w:rPr>
        <w:t>0.56</w:t>
      </w:r>
      <w:r>
        <w:rPr>
          <w:rFonts w:hint="eastAsia" w:ascii="宋体" w:hAnsi="宋体"/>
          <w:color w:val="auto"/>
          <w:sz w:val="24"/>
          <w:szCs w:val="24"/>
          <w:highlight w:val="none"/>
        </w:rPr>
        <w:t>*（1-10%）</w:t>
      </w:r>
    </w:p>
    <w:p w14:paraId="3D489099">
      <w:pPr>
        <w:autoSpaceDE w:val="0"/>
        <w:autoSpaceDN w:val="0"/>
        <w:adjustRightInd w:val="0"/>
        <w:spacing w:line="360" w:lineRule="auto"/>
        <w:ind w:firstLine="480" w:firstLineChars="200"/>
        <w:jc w:val="left"/>
        <w:rPr>
          <w:rFonts w:hint="eastAsia" w:ascii="宋体" w:hAnsi="宋体"/>
          <w:color w:val="auto"/>
          <w:sz w:val="24"/>
          <w:szCs w:val="24"/>
          <w:highlight w:val="none"/>
        </w:rPr>
      </w:pPr>
      <w:r>
        <w:rPr>
          <w:rFonts w:ascii="宋体" w:hAnsi="宋体"/>
          <w:color w:val="auto"/>
          <w:sz w:val="24"/>
          <w:szCs w:val="24"/>
          <w:highlight w:val="none"/>
        </w:rPr>
        <w:t>式中</w:t>
      </w:r>
      <w:r>
        <w:rPr>
          <w:rFonts w:hint="eastAsia" w:ascii="宋体" w:hAnsi="宋体"/>
          <w:color w:val="auto"/>
          <w:sz w:val="24"/>
          <w:szCs w:val="24"/>
          <w:highlight w:val="none"/>
        </w:rPr>
        <w:t>： P为实际用电单价（需除税后计算，税率13%），0.56</w:t>
      </w:r>
      <w:r>
        <w:rPr>
          <w:rFonts w:ascii="宋体" w:hAnsi="宋体"/>
          <w:color w:val="auto"/>
          <w:sz w:val="24"/>
          <w:szCs w:val="24"/>
          <w:highlight w:val="none"/>
        </w:rPr>
        <w:t>为投标</w:t>
      </w:r>
      <w:r>
        <w:rPr>
          <w:rFonts w:hint="eastAsia" w:ascii="宋体" w:hAnsi="宋体"/>
          <w:color w:val="auto"/>
          <w:sz w:val="24"/>
          <w:szCs w:val="24"/>
          <w:highlight w:val="none"/>
        </w:rPr>
        <w:t>计算</w:t>
      </w:r>
      <w:r>
        <w:rPr>
          <w:rFonts w:ascii="宋体" w:hAnsi="宋体"/>
          <w:color w:val="auto"/>
          <w:sz w:val="24"/>
          <w:szCs w:val="24"/>
          <w:highlight w:val="none"/>
        </w:rPr>
        <w:t>单价</w:t>
      </w:r>
      <w:r>
        <w:rPr>
          <w:rFonts w:hint="eastAsia" w:ascii="宋体" w:hAnsi="宋体"/>
          <w:color w:val="auto"/>
          <w:sz w:val="24"/>
          <w:szCs w:val="24"/>
          <w:highlight w:val="none"/>
        </w:rPr>
        <w:t>。</w:t>
      </w:r>
    </w:p>
    <w:p w14:paraId="53C2390F">
      <w:pPr>
        <w:widowControl/>
        <w:spacing w:line="360" w:lineRule="auto"/>
        <w:jc w:val="left"/>
        <w:rPr>
          <w:color w:val="auto"/>
          <w:sz w:val="24"/>
          <w:szCs w:val="24"/>
          <w:highlight w:val="none"/>
        </w:rPr>
      </w:pPr>
      <w:r>
        <w:rPr>
          <w:rFonts w:hint="eastAsia"/>
          <w:color w:val="auto"/>
          <w:sz w:val="24"/>
          <w:szCs w:val="24"/>
          <w:highlight w:val="none"/>
        </w:rPr>
        <w:t xml:space="preserve">    使用供电局线路供电的，按照以上计算方式调整。</w:t>
      </w:r>
    </w:p>
    <w:p w14:paraId="4492E4F3">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（2）</w:t>
      </w:r>
      <w:r>
        <w:rPr>
          <w:rFonts w:ascii="宋体" w:hAnsi="宋体"/>
          <w:color w:val="auto"/>
          <w:sz w:val="24"/>
          <w:szCs w:val="24"/>
          <w:highlight w:val="none"/>
        </w:rPr>
        <w:t>水费单价补差方法</w:t>
      </w:r>
    </w:p>
    <w:p w14:paraId="26F39B89">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 xml:space="preserve">实际用水单价（P）=施工过程当中缴纳水费总价（需除税后计算）/定额结算共计用水量）； </w:t>
      </w:r>
    </w:p>
    <w:p w14:paraId="65431B02">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当P＞</w:t>
      </w:r>
      <w:r>
        <w:rPr>
          <w:rFonts w:ascii="宋体" w:hAnsi="宋体"/>
          <w:color w:val="auto"/>
          <w:sz w:val="24"/>
          <w:szCs w:val="24"/>
          <w:highlight w:val="none"/>
        </w:rPr>
        <w:t>3.15</w:t>
      </w:r>
      <w:r>
        <w:rPr>
          <w:rFonts w:hint="eastAsia" w:ascii="宋体" w:hAnsi="宋体"/>
          <w:color w:val="auto"/>
          <w:sz w:val="24"/>
          <w:szCs w:val="24"/>
          <w:highlight w:val="none"/>
        </w:rPr>
        <w:t>*(1+10%)时，单价调差方法：P-</w:t>
      </w:r>
      <w:r>
        <w:rPr>
          <w:rFonts w:ascii="宋体" w:hAnsi="宋体"/>
          <w:color w:val="auto"/>
          <w:sz w:val="24"/>
          <w:szCs w:val="24"/>
          <w:highlight w:val="none"/>
        </w:rPr>
        <w:t>3.15</w:t>
      </w:r>
      <w:r>
        <w:rPr>
          <w:rFonts w:hint="eastAsia" w:ascii="宋体" w:hAnsi="宋体"/>
          <w:color w:val="auto"/>
          <w:sz w:val="24"/>
          <w:szCs w:val="24"/>
          <w:highlight w:val="none"/>
        </w:rPr>
        <w:t>*（1+10%）</w:t>
      </w:r>
    </w:p>
    <w:p w14:paraId="01AF4647">
      <w:pPr>
        <w:autoSpaceDE w:val="0"/>
        <w:autoSpaceDN w:val="0"/>
        <w:adjustRightInd w:val="0"/>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当P＜</w:t>
      </w:r>
      <w:r>
        <w:rPr>
          <w:rFonts w:ascii="宋体" w:hAnsi="宋体"/>
          <w:color w:val="auto"/>
          <w:sz w:val="24"/>
          <w:szCs w:val="24"/>
          <w:highlight w:val="none"/>
        </w:rPr>
        <w:t>3.15</w:t>
      </w:r>
      <w:r>
        <w:rPr>
          <w:rFonts w:hint="eastAsia" w:ascii="宋体" w:hAnsi="宋体"/>
          <w:color w:val="auto"/>
          <w:sz w:val="24"/>
          <w:szCs w:val="24"/>
          <w:highlight w:val="none"/>
        </w:rPr>
        <w:t>*(1-10%)时，单价调差方法：P-</w:t>
      </w:r>
      <w:r>
        <w:rPr>
          <w:rFonts w:ascii="宋体" w:hAnsi="宋体"/>
          <w:color w:val="auto"/>
          <w:sz w:val="24"/>
          <w:szCs w:val="24"/>
          <w:highlight w:val="none"/>
        </w:rPr>
        <w:t>3.15</w:t>
      </w:r>
      <w:r>
        <w:rPr>
          <w:rFonts w:hint="eastAsia" w:ascii="宋体" w:hAnsi="宋体"/>
          <w:color w:val="auto"/>
          <w:sz w:val="24"/>
          <w:szCs w:val="24"/>
          <w:highlight w:val="none"/>
        </w:rPr>
        <w:t>*（1-10%）</w:t>
      </w:r>
    </w:p>
    <w:p w14:paraId="380759CF">
      <w:pPr>
        <w:autoSpaceDE w:val="0"/>
        <w:autoSpaceDN w:val="0"/>
        <w:adjustRightInd w:val="0"/>
        <w:spacing w:line="360" w:lineRule="auto"/>
        <w:ind w:firstLine="480" w:firstLineChars="200"/>
        <w:jc w:val="left"/>
        <w:rPr>
          <w:rFonts w:hint="eastAsia" w:ascii="宋体" w:hAnsi="宋体"/>
          <w:color w:val="auto"/>
          <w:sz w:val="24"/>
          <w:szCs w:val="24"/>
          <w:highlight w:val="none"/>
        </w:rPr>
      </w:pPr>
      <w:r>
        <w:rPr>
          <w:rFonts w:ascii="宋体" w:hAnsi="宋体"/>
          <w:color w:val="auto"/>
          <w:sz w:val="24"/>
          <w:szCs w:val="24"/>
          <w:highlight w:val="none"/>
        </w:rPr>
        <w:t>式中</w:t>
      </w:r>
      <w:r>
        <w:rPr>
          <w:rFonts w:hint="eastAsia" w:ascii="宋体" w:hAnsi="宋体"/>
          <w:color w:val="auto"/>
          <w:sz w:val="24"/>
          <w:szCs w:val="24"/>
          <w:highlight w:val="none"/>
        </w:rPr>
        <w:t>：P为实际用水单价（需除税后计算）；</w:t>
      </w:r>
      <w:r>
        <w:rPr>
          <w:rFonts w:ascii="宋体" w:hAnsi="宋体"/>
          <w:color w:val="auto"/>
          <w:sz w:val="24"/>
          <w:szCs w:val="24"/>
          <w:highlight w:val="none"/>
        </w:rPr>
        <w:t>3.15为投标</w:t>
      </w:r>
      <w:r>
        <w:rPr>
          <w:rFonts w:hint="eastAsia" w:ascii="宋体" w:hAnsi="宋体"/>
          <w:color w:val="auto"/>
          <w:sz w:val="24"/>
          <w:szCs w:val="24"/>
          <w:highlight w:val="none"/>
        </w:rPr>
        <w:t>计算</w:t>
      </w:r>
      <w:r>
        <w:rPr>
          <w:rFonts w:ascii="宋体" w:hAnsi="宋体"/>
          <w:color w:val="auto"/>
          <w:sz w:val="24"/>
          <w:szCs w:val="24"/>
          <w:highlight w:val="none"/>
        </w:rPr>
        <w:t>单价</w:t>
      </w:r>
      <w:r>
        <w:rPr>
          <w:rFonts w:hint="eastAsia" w:ascii="宋体" w:hAnsi="宋体"/>
          <w:color w:val="auto"/>
          <w:sz w:val="24"/>
          <w:szCs w:val="24"/>
          <w:highlight w:val="none"/>
        </w:rPr>
        <w:t>。</w:t>
      </w:r>
    </w:p>
    <w:p w14:paraId="6E72F48F">
      <w:pPr>
        <w:numPr>
          <w:ilvl w:val="0"/>
          <w:numId w:val="0"/>
        </w:numPr>
        <w:autoSpaceDE w:val="0"/>
        <w:autoSpaceDN w:val="0"/>
        <w:adjustRightInd w:val="0"/>
        <w:spacing w:line="360" w:lineRule="auto"/>
        <w:ind w:left="0" w:leftChars="0" w:firstLine="480" w:firstLineChars="200"/>
        <w:jc w:val="left"/>
        <w:rPr>
          <w:rFonts w:hint="eastAsia" w:ascii="宋体" w:hAnsi="宋体"/>
          <w:color w:val="auto"/>
          <w:sz w:val="24"/>
          <w:szCs w:val="24"/>
          <w:highlight w:val="none"/>
        </w:rPr>
      </w:pPr>
      <w:r>
        <w:rPr>
          <w:rFonts w:hint="eastAsia" w:ascii="宋体" w:hAnsi="宋体" w:eastAsia="宋体" w:cs="Times New Roman"/>
          <w:color w:val="auto"/>
          <w:kern w:val="2"/>
          <w:sz w:val="24"/>
          <w:szCs w:val="24"/>
          <w:highlight w:val="none"/>
          <w:lang w:val="en-US" w:eastAsia="zh-CN" w:bidi="ar-SA"/>
        </w:rPr>
        <w:t>（4）</w:t>
      </w:r>
      <w:r>
        <w:rPr>
          <w:rFonts w:hint="eastAsia" w:ascii="宋体" w:hAnsi="宋体"/>
          <w:color w:val="auto"/>
          <w:sz w:val="24"/>
          <w:szCs w:val="24"/>
          <w:highlight w:val="none"/>
        </w:rPr>
        <w:t>月度用电、用水数量、单价和费用以地下开采项目用电、用水搭接单位（</w:t>
      </w:r>
      <w:r>
        <w:rPr>
          <w:rFonts w:hint="eastAsia" w:ascii="宋体" w:hAnsi="宋体"/>
          <w:color w:val="auto"/>
          <w:sz w:val="24"/>
          <w:szCs w:val="24"/>
          <w:highlight w:val="none"/>
          <w:lang w:eastAsia="zh-CN"/>
        </w:rPr>
        <w:t>浙江巨化化工矿业有限公司</w:t>
      </w:r>
      <w:r>
        <w:rPr>
          <w:rFonts w:hint="eastAsia" w:ascii="宋体" w:hAnsi="宋体"/>
          <w:color w:val="auto"/>
          <w:sz w:val="24"/>
          <w:szCs w:val="24"/>
          <w:highlight w:val="none"/>
        </w:rPr>
        <w:t>）提供的结算单为准。</w:t>
      </w:r>
    </w:p>
    <w:p w14:paraId="5733BF3D">
      <w:pPr>
        <w:pStyle w:val="36"/>
        <w:spacing w:before="0" w:after="0" w:line="360" w:lineRule="auto"/>
        <w:ind w:left="250" w:right="24" w:firstLine="253" w:firstLineChars="100"/>
        <w:outlineLvl w:val="0"/>
        <w:rPr>
          <w:rFonts w:hint="eastAsia" w:ascii="宋体" w:hAnsi="宋体"/>
          <w:b/>
          <w:bCs/>
          <w:color w:val="auto"/>
          <w:spacing w:val="6"/>
          <w:szCs w:val="24"/>
          <w:highlight w:val="none"/>
          <w:lang w:val="en-US" w:eastAsia="zh-CN"/>
        </w:rPr>
      </w:pPr>
      <w:r>
        <w:rPr>
          <w:rFonts w:hint="eastAsia" w:ascii="宋体" w:hAnsi="宋体"/>
          <w:b/>
          <w:bCs/>
          <w:color w:val="auto"/>
          <w:spacing w:val="6"/>
          <w:szCs w:val="24"/>
          <w:highlight w:val="none"/>
          <w:lang w:val="en-US" w:eastAsia="zh-CN"/>
        </w:rPr>
        <w:t>八、材料与资源归属</w:t>
      </w:r>
    </w:p>
    <w:p w14:paraId="15D55B88">
      <w:pPr>
        <w:pStyle w:val="27"/>
        <w:keepNext w:val="0"/>
        <w:keepLines w:val="0"/>
        <w:pageBreakBefore w:val="0"/>
        <w:widowControl/>
        <w:numPr>
          <w:ilvl w:val="0"/>
          <w:numId w:val="0"/>
        </w:numPr>
        <w:kinsoku/>
        <w:wordWrap/>
        <w:overflowPunct/>
        <w:topLinePunct w:val="0"/>
        <w:autoSpaceDE/>
        <w:autoSpaceDN/>
        <w:bidi w:val="0"/>
        <w:adjustRightInd/>
        <w:snapToGrid/>
        <w:ind w:leftChars="0" w:firstLine="506" w:firstLineChars="200"/>
        <w:textAlignment w:val="auto"/>
        <w:rPr>
          <w:rFonts w:hint="eastAsia" w:ascii="宋体" w:hAnsi="宋体" w:eastAsia="宋体" w:cs="Times New Roman"/>
          <w:b/>
          <w:bCs/>
          <w:color w:val="auto"/>
          <w:spacing w:val="6"/>
          <w:kern w:val="0"/>
          <w:sz w:val="24"/>
          <w:szCs w:val="24"/>
          <w:highlight w:val="none"/>
          <w:lang w:val="en-US" w:eastAsia="zh-CN" w:bidi="ar-SA"/>
        </w:rPr>
      </w:pPr>
      <w:r>
        <w:rPr>
          <w:rFonts w:hint="eastAsia" w:ascii="宋体" w:hAnsi="宋体" w:eastAsia="宋体" w:cs="Times New Roman"/>
          <w:b/>
          <w:bCs/>
          <w:color w:val="auto"/>
          <w:spacing w:val="6"/>
          <w:kern w:val="0"/>
          <w:sz w:val="24"/>
          <w:szCs w:val="24"/>
          <w:highlight w:val="none"/>
          <w:lang w:val="en-US" w:eastAsia="zh-CN" w:bidi="ar-SA"/>
        </w:rPr>
        <w:t>第23条  权属约定：</w:t>
      </w:r>
    </w:p>
    <w:p w14:paraId="54D27A3E">
      <w:pPr>
        <w:pStyle w:val="27"/>
        <w:keepNext w:val="0"/>
        <w:keepLines w:val="0"/>
        <w:pageBreakBefore w:val="0"/>
        <w:widowControl/>
        <w:numPr>
          <w:ilvl w:val="0"/>
          <w:numId w:val="0"/>
        </w:numPr>
        <w:kinsoku/>
        <w:wordWrap/>
        <w:overflowPunct/>
        <w:topLinePunct w:val="0"/>
        <w:autoSpaceDE/>
        <w:autoSpaceDN/>
        <w:bidi w:val="0"/>
        <w:adjustRightInd/>
        <w:snapToGrid/>
        <w:ind w:leftChars="0" w:firstLine="480" w:firstLineChars="200"/>
        <w:textAlignment w:val="auto"/>
        <w:rPr>
          <w:rFonts w:hint="default" w:ascii="宋体" w:hAnsi="宋体" w:eastAsia="宋体" w:cs="Times New Roman"/>
          <w:color w:val="auto"/>
          <w:kern w:val="2"/>
          <w:sz w:val="24"/>
          <w:szCs w:val="24"/>
          <w:highlight w:val="none"/>
          <w:lang w:val="en-US" w:eastAsia="zh-CN" w:bidi="ar-SA"/>
        </w:rPr>
      </w:pPr>
      <w:r>
        <w:rPr>
          <w:rFonts w:hint="default" w:ascii="宋体" w:hAnsi="宋体" w:eastAsia="宋体" w:cs="Times New Roman"/>
          <w:color w:val="auto"/>
          <w:kern w:val="2"/>
          <w:sz w:val="24"/>
          <w:szCs w:val="24"/>
          <w:highlight w:val="none"/>
          <w:lang w:val="en-US" w:eastAsia="zh-CN" w:bidi="ar-SA"/>
        </w:rPr>
        <w:t>本工程实施过程中产生的全部土石方、砂石料及其他地下天然资源（以下简称"施工产出物"）所有权归属于招标人（业主单位），承包方不得擅自处置或主张任何权益。</w:t>
      </w:r>
    </w:p>
    <w:p w14:paraId="451BED79">
      <w:pPr>
        <w:pStyle w:val="27"/>
        <w:keepNext w:val="0"/>
        <w:keepLines w:val="0"/>
        <w:pageBreakBefore w:val="0"/>
        <w:widowControl/>
        <w:numPr>
          <w:ilvl w:val="0"/>
          <w:numId w:val="0"/>
        </w:numPr>
        <w:kinsoku/>
        <w:wordWrap/>
        <w:overflowPunct/>
        <w:topLinePunct w:val="0"/>
        <w:autoSpaceDE/>
        <w:autoSpaceDN/>
        <w:bidi w:val="0"/>
        <w:adjustRightInd/>
        <w:snapToGrid/>
        <w:ind w:leftChars="0" w:firstLine="480" w:firstLineChars="200"/>
        <w:textAlignment w:val="auto"/>
        <w:rPr>
          <w:rFonts w:hint="default" w:ascii="宋体" w:hAnsi="宋体" w:eastAsia="宋体" w:cs="Times New Roman"/>
          <w:color w:val="auto"/>
          <w:kern w:val="2"/>
          <w:sz w:val="24"/>
          <w:szCs w:val="24"/>
          <w:highlight w:val="none"/>
          <w:lang w:val="en-US" w:eastAsia="zh-CN" w:bidi="ar-SA"/>
        </w:rPr>
      </w:pPr>
      <w:r>
        <w:rPr>
          <w:rFonts w:hint="default" w:ascii="宋体" w:hAnsi="宋体" w:eastAsia="宋体" w:cs="Times New Roman"/>
          <w:color w:val="auto"/>
          <w:kern w:val="2"/>
          <w:sz w:val="24"/>
          <w:szCs w:val="24"/>
          <w:highlight w:val="none"/>
          <w:lang w:val="en-US" w:eastAsia="zh-CN" w:bidi="ar-SA"/>
        </w:rPr>
        <w:t>施工产出物包括但不限于：开挖产生的砂石、矿渣、岩土等，其性质认定以地质勘察报告及施工记录为准。</w:t>
      </w:r>
    </w:p>
    <w:p w14:paraId="42D76828">
      <w:pPr>
        <w:pStyle w:val="27"/>
        <w:keepNext w:val="0"/>
        <w:keepLines w:val="0"/>
        <w:pageBreakBefore w:val="0"/>
        <w:widowControl/>
        <w:numPr>
          <w:ilvl w:val="0"/>
          <w:numId w:val="0"/>
        </w:numPr>
        <w:kinsoku/>
        <w:wordWrap/>
        <w:overflowPunct/>
        <w:topLinePunct w:val="0"/>
        <w:autoSpaceDE/>
        <w:autoSpaceDN/>
        <w:bidi w:val="0"/>
        <w:adjustRightInd/>
        <w:snapToGrid/>
        <w:ind w:leftChars="0" w:firstLine="482" w:firstLineChars="200"/>
        <w:textAlignment w:val="auto"/>
        <w:rPr>
          <w:rFonts w:hint="default" w:ascii="宋体" w:hAnsi="宋体" w:eastAsia="宋体" w:cs="Times New Roman"/>
          <w:color w:val="auto"/>
          <w:kern w:val="2"/>
          <w:sz w:val="24"/>
          <w:szCs w:val="24"/>
          <w:highlight w:val="none"/>
          <w:lang w:val="en-US" w:eastAsia="zh-CN" w:bidi="ar-SA"/>
        </w:rPr>
      </w:pPr>
      <w:r>
        <w:rPr>
          <w:rFonts w:hint="eastAsia" w:hAnsi="宋体" w:cs="Times New Roman"/>
          <w:b/>
          <w:bCs/>
          <w:color w:val="auto"/>
          <w:kern w:val="2"/>
          <w:sz w:val="24"/>
          <w:szCs w:val="24"/>
          <w:highlight w:val="none"/>
          <w:lang w:val="en-US" w:eastAsia="zh-CN" w:bidi="ar-SA"/>
        </w:rPr>
        <w:t xml:space="preserve">第24条  </w:t>
      </w:r>
      <w:r>
        <w:rPr>
          <w:rFonts w:hint="default" w:ascii="宋体" w:hAnsi="宋体" w:eastAsia="宋体" w:cs="Times New Roman"/>
          <w:b/>
          <w:bCs/>
          <w:color w:val="auto"/>
          <w:kern w:val="2"/>
          <w:sz w:val="24"/>
          <w:szCs w:val="24"/>
          <w:highlight w:val="none"/>
          <w:lang w:val="en-US" w:eastAsia="zh-CN" w:bidi="ar-SA"/>
        </w:rPr>
        <w:t>处置程序</w:t>
      </w:r>
      <w:r>
        <w:rPr>
          <w:rFonts w:hint="eastAsia" w:hAnsi="宋体" w:cs="Times New Roman"/>
          <w:b/>
          <w:bCs/>
          <w:color w:val="auto"/>
          <w:kern w:val="2"/>
          <w:sz w:val="24"/>
          <w:szCs w:val="24"/>
          <w:highlight w:val="none"/>
          <w:lang w:val="en-US" w:eastAsia="zh-CN" w:bidi="ar-SA"/>
        </w:rPr>
        <w:t>：</w:t>
      </w:r>
    </w:p>
    <w:p w14:paraId="708E174C">
      <w:pPr>
        <w:pStyle w:val="27"/>
        <w:keepNext w:val="0"/>
        <w:keepLines w:val="0"/>
        <w:pageBreakBefore w:val="0"/>
        <w:widowControl/>
        <w:numPr>
          <w:ilvl w:val="0"/>
          <w:numId w:val="0"/>
        </w:numPr>
        <w:kinsoku/>
        <w:wordWrap/>
        <w:overflowPunct/>
        <w:topLinePunct w:val="0"/>
        <w:autoSpaceDE/>
        <w:autoSpaceDN/>
        <w:bidi w:val="0"/>
        <w:adjustRightInd/>
        <w:snapToGrid/>
        <w:ind w:leftChars="0" w:firstLine="480" w:firstLineChars="200"/>
        <w:textAlignment w:val="auto"/>
        <w:rPr>
          <w:rFonts w:hint="default" w:ascii="宋体" w:hAnsi="宋体" w:eastAsia="宋体" w:cs="Times New Roman"/>
          <w:color w:val="auto"/>
          <w:kern w:val="2"/>
          <w:sz w:val="24"/>
          <w:szCs w:val="24"/>
          <w:highlight w:val="none"/>
          <w:lang w:val="en-US" w:eastAsia="zh-CN" w:bidi="ar-SA"/>
        </w:rPr>
      </w:pPr>
      <w:r>
        <w:rPr>
          <w:rFonts w:hint="default" w:ascii="宋体" w:hAnsi="宋体" w:eastAsia="宋体" w:cs="Times New Roman"/>
          <w:color w:val="auto"/>
          <w:kern w:val="2"/>
          <w:sz w:val="24"/>
          <w:szCs w:val="24"/>
          <w:highlight w:val="none"/>
          <w:lang w:val="en-US" w:eastAsia="zh-CN" w:bidi="ar-SA"/>
        </w:rPr>
        <w:t>招标人有权自行决定产出物的利用、销售或处置方式，承包方须无条件配合完成场地清理、运输装卸等辅助工作。</w:t>
      </w:r>
    </w:p>
    <w:p w14:paraId="08710EFF">
      <w:pPr>
        <w:pStyle w:val="27"/>
        <w:keepNext w:val="0"/>
        <w:keepLines w:val="0"/>
        <w:pageBreakBefore w:val="0"/>
        <w:widowControl/>
        <w:numPr>
          <w:ilvl w:val="0"/>
          <w:numId w:val="0"/>
        </w:numPr>
        <w:kinsoku/>
        <w:wordWrap/>
        <w:overflowPunct/>
        <w:topLinePunct w:val="0"/>
        <w:autoSpaceDE/>
        <w:autoSpaceDN/>
        <w:bidi w:val="0"/>
        <w:adjustRightInd/>
        <w:snapToGrid/>
        <w:ind w:leftChars="0" w:firstLine="482" w:firstLineChars="200"/>
        <w:textAlignment w:val="auto"/>
        <w:rPr>
          <w:rFonts w:hint="default" w:ascii="宋体" w:hAnsi="宋体" w:eastAsia="宋体" w:cs="Times New Roman"/>
          <w:b/>
          <w:bCs/>
          <w:color w:val="auto"/>
          <w:kern w:val="2"/>
          <w:sz w:val="24"/>
          <w:szCs w:val="24"/>
          <w:highlight w:val="none"/>
          <w:lang w:val="en-US" w:eastAsia="zh-CN" w:bidi="ar-SA"/>
        </w:rPr>
      </w:pPr>
      <w:r>
        <w:rPr>
          <w:rFonts w:hint="eastAsia" w:hAnsi="宋体" w:cs="Times New Roman"/>
          <w:b/>
          <w:bCs/>
          <w:color w:val="auto"/>
          <w:kern w:val="2"/>
          <w:sz w:val="24"/>
          <w:szCs w:val="24"/>
          <w:highlight w:val="none"/>
          <w:lang w:val="en-US" w:eastAsia="zh-CN" w:bidi="ar-SA"/>
        </w:rPr>
        <w:t xml:space="preserve">第25条  </w:t>
      </w:r>
      <w:r>
        <w:rPr>
          <w:rFonts w:hint="default" w:ascii="宋体" w:hAnsi="宋体" w:eastAsia="宋体" w:cs="Times New Roman"/>
          <w:b/>
          <w:bCs/>
          <w:color w:val="auto"/>
          <w:kern w:val="2"/>
          <w:sz w:val="24"/>
          <w:szCs w:val="24"/>
          <w:highlight w:val="none"/>
          <w:lang w:val="en-US" w:eastAsia="zh-CN" w:bidi="ar-SA"/>
        </w:rPr>
        <w:t>费用承担</w:t>
      </w:r>
      <w:r>
        <w:rPr>
          <w:rFonts w:hint="eastAsia" w:hAnsi="宋体" w:cs="Times New Roman"/>
          <w:b/>
          <w:bCs/>
          <w:color w:val="auto"/>
          <w:kern w:val="2"/>
          <w:sz w:val="24"/>
          <w:szCs w:val="24"/>
          <w:highlight w:val="none"/>
          <w:lang w:val="en-US" w:eastAsia="zh-CN" w:bidi="ar-SA"/>
        </w:rPr>
        <w:t>：</w:t>
      </w:r>
    </w:p>
    <w:p w14:paraId="08434478">
      <w:pPr>
        <w:pStyle w:val="27"/>
        <w:keepNext w:val="0"/>
        <w:keepLines w:val="0"/>
        <w:pageBreakBefore w:val="0"/>
        <w:widowControl/>
        <w:numPr>
          <w:ilvl w:val="0"/>
          <w:numId w:val="0"/>
        </w:numPr>
        <w:kinsoku/>
        <w:wordWrap/>
        <w:overflowPunct/>
        <w:topLinePunct w:val="0"/>
        <w:autoSpaceDE/>
        <w:autoSpaceDN/>
        <w:bidi w:val="0"/>
        <w:adjustRightInd/>
        <w:snapToGrid/>
        <w:ind w:leftChars="0" w:firstLine="480" w:firstLineChars="200"/>
        <w:textAlignment w:val="auto"/>
        <w:rPr>
          <w:rFonts w:hint="default" w:ascii="宋体" w:hAnsi="宋体" w:eastAsia="宋体" w:cs="Times New Roman"/>
          <w:color w:val="auto"/>
          <w:kern w:val="2"/>
          <w:sz w:val="24"/>
          <w:szCs w:val="24"/>
          <w:highlight w:val="none"/>
          <w:lang w:val="en-US" w:eastAsia="zh-CN" w:bidi="ar-SA"/>
        </w:rPr>
      </w:pPr>
      <w:r>
        <w:rPr>
          <w:rFonts w:hint="default" w:ascii="宋体" w:hAnsi="宋体" w:eastAsia="宋体" w:cs="Times New Roman"/>
          <w:color w:val="auto"/>
          <w:kern w:val="2"/>
          <w:sz w:val="24"/>
          <w:szCs w:val="24"/>
          <w:highlight w:val="none"/>
          <w:lang w:val="en-US" w:eastAsia="zh-CN" w:bidi="ar-SA"/>
        </w:rPr>
        <w:t>产出物堆放场地建设、保管及二次转运费用由招标人承担，承包方应提前48小时书面通知招标人清运需求。</w:t>
      </w:r>
    </w:p>
    <w:p w14:paraId="62D9F753">
      <w:pPr>
        <w:pStyle w:val="27"/>
        <w:keepNext w:val="0"/>
        <w:keepLines w:val="0"/>
        <w:pageBreakBefore w:val="0"/>
        <w:widowControl/>
        <w:numPr>
          <w:ilvl w:val="0"/>
          <w:numId w:val="0"/>
        </w:numPr>
        <w:kinsoku/>
        <w:wordWrap/>
        <w:overflowPunct/>
        <w:topLinePunct w:val="0"/>
        <w:autoSpaceDE/>
        <w:autoSpaceDN/>
        <w:bidi w:val="0"/>
        <w:adjustRightInd/>
        <w:snapToGrid/>
        <w:ind w:leftChars="0" w:firstLine="480" w:firstLineChars="200"/>
        <w:textAlignment w:val="auto"/>
        <w:rPr>
          <w:rFonts w:hint="default" w:ascii="宋体" w:hAnsi="宋体" w:eastAsia="宋体" w:cs="Times New Roman"/>
          <w:color w:val="auto"/>
          <w:kern w:val="2"/>
          <w:sz w:val="24"/>
          <w:szCs w:val="24"/>
          <w:highlight w:val="none"/>
          <w:lang w:val="en-US" w:eastAsia="zh-CN" w:bidi="ar-SA"/>
        </w:rPr>
      </w:pPr>
      <w:r>
        <w:rPr>
          <w:rFonts w:hint="default" w:ascii="宋体" w:hAnsi="宋体" w:eastAsia="宋体" w:cs="Times New Roman"/>
          <w:color w:val="auto"/>
          <w:kern w:val="2"/>
          <w:sz w:val="24"/>
          <w:szCs w:val="24"/>
          <w:highlight w:val="none"/>
          <w:lang w:val="en-US" w:eastAsia="zh-CN" w:bidi="ar-SA"/>
        </w:rPr>
        <w:t>若因承包方未按指定位置堆放导致处置延误，由此产生的保管费用由承包方承担。</w:t>
      </w:r>
    </w:p>
    <w:p w14:paraId="16312A38">
      <w:pPr>
        <w:pStyle w:val="27"/>
        <w:keepNext w:val="0"/>
        <w:keepLines w:val="0"/>
        <w:pageBreakBefore w:val="0"/>
        <w:widowControl/>
        <w:numPr>
          <w:ilvl w:val="0"/>
          <w:numId w:val="0"/>
        </w:numPr>
        <w:kinsoku/>
        <w:wordWrap/>
        <w:overflowPunct/>
        <w:topLinePunct w:val="0"/>
        <w:autoSpaceDE/>
        <w:autoSpaceDN/>
        <w:bidi w:val="0"/>
        <w:adjustRightInd/>
        <w:snapToGrid/>
        <w:ind w:leftChars="0" w:firstLine="482" w:firstLineChars="200"/>
        <w:textAlignment w:val="auto"/>
        <w:rPr>
          <w:rFonts w:hint="default" w:ascii="宋体" w:hAnsi="宋体" w:eastAsia="宋体" w:cs="Times New Roman"/>
          <w:color w:val="auto"/>
          <w:kern w:val="2"/>
          <w:sz w:val="24"/>
          <w:szCs w:val="24"/>
          <w:highlight w:val="none"/>
          <w:lang w:val="en-US" w:eastAsia="zh-CN" w:bidi="ar-SA"/>
        </w:rPr>
      </w:pPr>
      <w:r>
        <w:rPr>
          <w:rFonts w:hint="default" w:ascii="宋体" w:hAnsi="宋体" w:eastAsia="宋体" w:cs="Times New Roman"/>
          <w:b/>
          <w:bCs/>
          <w:color w:val="auto"/>
          <w:kern w:val="2"/>
          <w:sz w:val="24"/>
          <w:szCs w:val="24"/>
          <w:highlight w:val="none"/>
          <w:lang w:val="en-US" w:eastAsia="zh-CN" w:bidi="ar-SA"/>
        </w:rPr>
        <w:t xml:space="preserve"> </w:t>
      </w:r>
      <w:r>
        <w:rPr>
          <w:rFonts w:hint="eastAsia" w:hAnsi="宋体" w:cs="Times New Roman"/>
          <w:b/>
          <w:bCs/>
          <w:color w:val="auto"/>
          <w:kern w:val="2"/>
          <w:sz w:val="24"/>
          <w:szCs w:val="24"/>
          <w:highlight w:val="none"/>
          <w:lang w:val="en-US" w:eastAsia="zh-CN" w:bidi="ar-SA"/>
        </w:rPr>
        <w:t xml:space="preserve">第26条  </w:t>
      </w:r>
      <w:r>
        <w:rPr>
          <w:rFonts w:hint="default" w:ascii="宋体" w:hAnsi="宋体" w:eastAsia="宋体" w:cs="Times New Roman"/>
          <w:b/>
          <w:bCs/>
          <w:color w:val="auto"/>
          <w:kern w:val="2"/>
          <w:sz w:val="24"/>
          <w:szCs w:val="24"/>
          <w:highlight w:val="none"/>
          <w:lang w:val="en-US" w:eastAsia="zh-CN" w:bidi="ar-SA"/>
        </w:rPr>
        <w:t>违规处置责任</w:t>
      </w:r>
      <w:r>
        <w:rPr>
          <w:rFonts w:hint="eastAsia" w:hAnsi="宋体" w:cs="Times New Roman"/>
          <w:b/>
          <w:bCs/>
          <w:color w:val="auto"/>
          <w:kern w:val="2"/>
          <w:sz w:val="24"/>
          <w:szCs w:val="24"/>
          <w:highlight w:val="none"/>
          <w:lang w:val="en-US" w:eastAsia="zh-CN" w:bidi="ar-SA"/>
        </w:rPr>
        <w:t>：</w:t>
      </w:r>
    </w:p>
    <w:p w14:paraId="58D8B558">
      <w:pPr>
        <w:pStyle w:val="27"/>
        <w:keepNext w:val="0"/>
        <w:keepLines w:val="0"/>
        <w:pageBreakBefore w:val="0"/>
        <w:widowControl/>
        <w:numPr>
          <w:ilvl w:val="0"/>
          <w:numId w:val="0"/>
        </w:numPr>
        <w:kinsoku/>
        <w:wordWrap/>
        <w:overflowPunct/>
        <w:topLinePunct w:val="0"/>
        <w:autoSpaceDE/>
        <w:autoSpaceDN/>
        <w:bidi w:val="0"/>
        <w:adjustRightInd/>
        <w:snapToGrid/>
        <w:ind w:leftChars="0" w:firstLine="480" w:firstLineChars="200"/>
        <w:textAlignment w:val="auto"/>
        <w:rPr>
          <w:rFonts w:hint="default" w:ascii="宋体" w:hAnsi="宋体" w:eastAsia="宋体" w:cs="Times New Roman"/>
          <w:color w:val="auto"/>
          <w:kern w:val="2"/>
          <w:sz w:val="24"/>
          <w:szCs w:val="24"/>
          <w:highlight w:val="none"/>
          <w:lang w:val="en-US" w:eastAsia="zh-CN" w:bidi="ar-SA"/>
        </w:rPr>
      </w:pPr>
      <w:r>
        <w:rPr>
          <w:rFonts w:hint="default" w:ascii="宋体" w:hAnsi="宋体" w:eastAsia="宋体" w:cs="Times New Roman"/>
          <w:color w:val="auto"/>
          <w:kern w:val="2"/>
          <w:sz w:val="24"/>
          <w:szCs w:val="24"/>
          <w:highlight w:val="none"/>
          <w:lang w:val="en-US" w:eastAsia="zh-CN" w:bidi="ar-SA"/>
        </w:rPr>
        <w:t>承包方擅自处理施工产出物的，按当期市场价200%向招标人支付违约金，且招标人有权直接从工程款中扣除相应款项。</w:t>
      </w:r>
    </w:p>
    <w:p w14:paraId="54ED9785">
      <w:pPr>
        <w:pStyle w:val="27"/>
        <w:keepNext w:val="0"/>
        <w:keepLines w:val="0"/>
        <w:pageBreakBefore w:val="0"/>
        <w:widowControl/>
        <w:numPr>
          <w:ilvl w:val="0"/>
          <w:numId w:val="0"/>
        </w:numPr>
        <w:kinsoku/>
        <w:wordWrap/>
        <w:overflowPunct/>
        <w:topLinePunct w:val="0"/>
        <w:autoSpaceDE/>
        <w:autoSpaceDN/>
        <w:bidi w:val="0"/>
        <w:adjustRightInd/>
        <w:snapToGrid/>
        <w:ind w:leftChars="0" w:firstLine="480" w:firstLineChars="200"/>
        <w:textAlignment w:val="auto"/>
        <w:rPr>
          <w:rFonts w:hint="default" w:ascii="宋体" w:hAnsi="宋体" w:eastAsia="宋体" w:cs="Times New Roman"/>
          <w:color w:val="auto"/>
          <w:kern w:val="2"/>
          <w:sz w:val="24"/>
          <w:szCs w:val="24"/>
          <w:highlight w:val="none"/>
          <w:lang w:val="en-US" w:eastAsia="zh-CN" w:bidi="ar-SA"/>
        </w:rPr>
      </w:pPr>
      <w:r>
        <w:rPr>
          <w:rFonts w:hint="default" w:ascii="宋体" w:hAnsi="宋体" w:eastAsia="宋体" w:cs="Times New Roman"/>
          <w:color w:val="auto"/>
          <w:kern w:val="2"/>
          <w:sz w:val="24"/>
          <w:szCs w:val="24"/>
          <w:highlight w:val="none"/>
          <w:lang w:val="en-US" w:eastAsia="zh-CN" w:bidi="ar-SA"/>
        </w:rPr>
        <w:t>承包方未配合产出物清运导致工期延误的，按合同约定承担延误赔偿责任。</w:t>
      </w:r>
    </w:p>
    <w:p w14:paraId="69B0D534">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38" w:name="_Toc72846894"/>
      <w:bookmarkStart w:id="439" w:name="_Toc72846743"/>
      <w:r>
        <w:rPr>
          <w:rFonts w:hint="eastAsia" w:ascii="宋体" w:hAnsi="宋体"/>
          <w:b/>
          <w:bCs/>
          <w:color w:val="auto"/>
          <w:spacing w:val="6"/>
          <w:szCs w:val="24"/>
          <w:highlight w:val="none"/>
          <w:lang w:val="en-US" w:eastAsia="zh-CN"/>
        </w:rPr>
        <w:t>九</w:t>
      </w:r>
      <w:r>
        <w:rPr>
          <w:rFonts w:hint="eastAsia" w:ascii="宋体" w:hAnsi="宋体"/>
          <w:b/>
          <w:bCs/>
          <w:color w:val="auto"/>
          <w:spacing w:val="6"/>
          <w:szCs w:val="24"/>
          <w:highlight w:val="none"/>
        </w:rPr>
        <w:t>、争议、违约和索赔</w:t>
      </w:r>
      <w:bookmarkEnd w:id="438"/>
      <w:bookmarkEnd w:id="439"/>
    </w:p>
    <w:p w14:paraId="41F4CF3E">
      <w:pPr>
        <w:autoSpaceDE w:val="0"/>
        <w:autoSpaceDN w:val="0"/>
        <w:adjustRightInd w:val="0"/>
        <w:spacing w:line="360" w:lineRule="auto"/>
        <w:ind w:firstLine="482" w:firstLineChars="200"/>
        <w:jc w:val="left"/>
        <w:rPr>
          <w:rFonts w:ascii="宋体" w:hAnsi="宋体" w:cs="宋体"/>
          <w:b/>
          <w:bCs/>
          <w:color w:val="auto"/>
          <w:sz w:val="24"/>
          <w:szCs w:val="24"/>
          <w:highlight w:val="none"/>
        </w:rPr>
      </w:pPr>
      <w:r>
        <w:rPr>
          <w:rFonts w:hint="eastAsia" w:ascii="宋体" w:hAnsi="宋体" w:cs="宋体"/>
          <w:b/>
          <w:bCs/>
          <w:color w:val="auto"/>
          <w:sz w:val="24"/>
          <w:szCs w:val="24"/>
          <w:highlight w:val="none"/>
        </w:rPr>
        <w:t>第2</w:t>
      </w:r>
      <w:r>
        <w:rPr>
          <w:rFonts w:hint="eastAsia" w:ascii="宋体" w:hAnsi="宋体" w:cs="宋体"/>
          <w:b/>
          <w:bCs/>
          <w:color w:val="auto"/>
          <w:sz w:val="24"/>
          <w:szCs w:val="24"/>
          <w:highlight w:val="none"/>
          <w:lang w:val="en-US" w:eastAsia="zh-CN"/>
        </w:rPr>
        <w:t>7</w:t>
      </w:r>
      <w:r>
        <w:rPr>
          <w:rFonts w:hint="eastAsia" w:ascii="宋体" w:hAnsi="宋体" w:cs="宋体"/>
          <w:b/>
          <w:bCs/>
          <w:color w:val="auto"/>
          <w:sz w:val="24"/>
          <w:szCs w:val="24"/>
          <w:highlight w:val="none"/>
        </w:rPr>
        <w:t>条</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争议</w:t>
      </w:r>
    </w:p>
    <w:p w14:paraId="185ACDF1">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按通用条款执行。</w:t>
      </w:r>
    </w:p>
    <w:p w14:paraId="1197FF85">
      <w:pPr>
        <w:autoSpaceDE w:val="0"/>
        <w:autoSpaceDN w:val="0"/>
        <w:adjustRightInd w:val="0"/>
        <w:spacing w:line="360" w:lineRule="auto"/>
        <w:ind w:firstLine="482" w:firstLineChars="200"/>
        <w:jc w:val="left"/>
        <w:rPr>
          <w:rFonts w:ascii="宋体" w:hAnsi="宋体"/>
          <w:b/>
          <w:bCs/>
          <w:color w:val="auto"/>
          <w:sz w:val="24"/>
          <w:szCs w:val="24"/>
          <w:highlight w:val="none"/>
        </w:rPr>
      </w:pPr>
      <w:r>
        <w:rPr>
          <w:rFonts w:hint="eastAsia" w:ascii="宋体" w:hAnsi="宋体" w:cs="宋体"/>
          <w:b/>
          <w:bCs/>
          <w:color w:val="auto"/>
          <w:sz w:val="24"/>
          <w:szCs w:val="24"/>
          <w:highlight w:val="none"/>
        </w:rPr>
        <w:t>第</w:t>
      </w:r>
      <w:r>
        <w:rPr>
          <w:rFonts w:hint="eastAsia" w:ascii="宋体" w:hAnsi="宋体"/>
          <w:b/>
          <w:bCs/>
          <w:color w:val="auto"/>
          <w:sz w:val="24"/>
          <w:szCs w:val="24"/>
          <w:highlight w:val="none"/>
        </w:rPr>
        <w:t>2</w:t>
      </w:r>
      <w:r>
        <w:rPr>
          <w:rFonts w:hint="eastAsia" w:ascii="宋体" w:hAnsi="宋体"/>
          <w:b/>
          <w:bCs/>
          <w:color w:val="auto"/>
          <w:sz w:val="24"/>
          <w:szCs w:val="24"/>
          <w:highlight w:val="none"/>
          <w:lang w:val="en-US" w:eastAsia="zh-CN"/>
        </w:rPr>
        <w:t>8</w:t>
      </w:r>
      <w:r>
        <w:rPr>
          <w:rFonts w:hint="eastAsia" w:ascii="宋体" w:hAnsi="宋体" w:cs="宋体"/>
          <w:b/>
          <w:bCs/>
          <w:color w:val="auto"/>
          <w:sz w:val="24"/>
          <w:szCs w:val="24"/>
          <w:highlight w:val="none"/>
        </w:rPr>
        <w:t>条</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违约</w:t>
      </w:r>
    </w:p>
    <w:p w14:paraId="7BFC906F">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1.</w:t>
      </w:r>
      <w:r>
        <w:rPr>
          <w:rFonts w:ascii="宋体" w:hAnsi="宋体"/>
          <w:color w:val="auto"/>
          <w:kern w:val="0"/>
          <w:sz w:val="24"/>
          <w:szCs w:val="24"/>
          <w:highlight w:val="none"/>
        </w:rPr>
        <w:t>甲乙双方必须严格履行合同</w:t>
      </w:r>
      <w:r>
        <w:rPr>
          <w:rFonts w:hint="eastAsia" w:ascii="宋体" w:hAnsi="宋体"/>
          <w:color w:val="auto"/>
          <w:kern w:val="0"/>
          <w:sz w:val="24"/>
          <w:szCs w:val="24"/>
          <w:highlight w:val="none"/>
        </w:rPr>
        <w:t>，</w:t>
      </w:r>
      <w:r>
        <w:rPr>
          <w:rFonts w:ascii="宋体" w:hAnsi="宋体"/>
          <w:color w:val="auto"/>
          <w:kern w:val="0"/>
          <w:sz w:val="24"/>
          <w:szCs w:val="24"/>
          <w:highlight w:val="none"/>
        </w:rPr>
        <w:t>任何一方均不得违约</w:t>
      </w:r>
      <w:r>
        <w:rPr>
          <w:rFonts w:hint="eastAsia" w:ascii="宋体" w:hAnsi="宋体"/>
          <w:color w:val="auto"/>
          <w:kern w:val="0"/>
          <w:sz w:val="24"/>
          <w:szCs w:val="24"/>
          <w:highlight w:val="none"/>
        </w:rPr>
        <w:t>，</w:t>
      </w:r>
      <w:r>
        <w:rPr>
          <w:rFonts w:ascii="宋体" w:hAnsi="宋体"/>
          <w:color w:val="auto"/>
          <w:kern w:val="0"/>
          <w:sz w:val="24"/>
          <w:szCs w:val="24"/>
          <w:highlight w:val="none"/>
        </w:rPr>
        <w:t>如有违约</w:t>
      </w:r>
      <w:r>
        <w:rPr>
          <w:rFonts w:hint="eastAsia" w:ascii="宋体" w:hAnsi="宋体"/>
          <w:color w:val="auto"/>
          <w:kern w:val="0"/>
          <w:sz w:val="24"/>
          <w:szCs w:val="24"/>
          <w:highlight w:val="none"/>
        </w:rPr>
        <w:t>，</w:t>
      </w:r>
      <w:r>
        <w:rPr>
          <w:rFonts w:ascii="宋体" w:hAnsi="宋体"/>
          <w:color w:val="auto"/>
          <w:kern w:val="0"/>
          <w:sz w:val="24"/>
          <w:szCs w:val="24"/>
          <w:highlight w:val="none"/>
        </w:rPr>
        <w:t>违约方因违约原因给对方造成的损失</w:t>
      </w:r>
      <w:r>
        <w:rPr>
          <w:rFonts w:hint="eastAsia" w:ascii="宋体" w:hAnsi="宋体"/>
          <w:color w:val="auto"/>
          <w:kern w:val="0"/>
          <w:sz w:val="24"/>
          <w:szCs w:val="24"/>
          <w:highlight w:val="none"/>
        </w:rPr>
        <w:t>，</w:t>
      </w:r>
      <w:r>
        <w:rPr>
          <w:rFonts w:ascii="宋体" w:hAnsi="宋体"/>
          <w:color w:val="auto"/>
          <w:kern w:val="0"/>
          <w:sz w:val="24"/>
          <w:szCs w:val="24"/>
          <w:highlight w:val="none"/>
        </w:rPr>
        <w:t>按损失额赔偿</w:t>
      </w:r>
      <w:r>
        <w:rPr>
          <w:rFonts w:hint="eastAsia" w:ascii="宋体" w:hAnsi="宋体"/>
          <w:color w:val="auto"/>
          <w:kern w:val="0"/>
          <w:sz w:val="24"/>
          <w:szCs w:val="24"/>
          <w:highlight w:val="none"/>
        </w:rPr>
        <w:t>。</w:t>
      </w:r>
    </w:p>
    <w:p w14:paraId="1B05F26A">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ascii="宋体" w:hAnsi="宋体"/>
          <w:color w:val="auto"/>
          <w:kern w:val="0"/>
          <w:sz w:val="24"/>
          <w:szCs w:val="24"/>
          <w:highlight w:val="none"/>
        </w:rPr>
        <w:t>2.乙方有粗制滥造、偷工减料或其它欺骗甲方行为</w:t>
      </w:r>
      <w:r>
        <w:rPr>
          <w:rFonts w:hint="eastAsia" w:ascii="宋体" w:hAnsi="宋体"/>
          <w:color w:val="auto"/>
          <w:kern w:val="0"/>
          <w:sz w:val="24"/>
          <w:szCs w:val="24"/>
          <w:highlight w:val="none"/>
        </w:rPr>
        <w:t>，</w:t>
      </w:r>
      <w:r>
        <w:rPr>
          <w:rFonts w:ascii="宋体" w:hAnsi="宋体"/>
          <w:color w:val="auto"/>
          <w:kern w:val="0"/>
          <w:sz w:val="24"/>
          <w:szCs w:val="24"/>
          <w:highlight w:val="none"/>
        </w:rPr>
        <w:t>造成甲方损失或耽误工期等</w:t>
      </w:r>
      <w:r>
        <w:rPr>
          <w:rFonts w:hint="eastAsia" w:ascii="宋体" w:hAnsi="宋体"/>
          <w:color w:val="auto"/>
          <w:kern w:val="0"/>
          <w:sz w:val="24"/>
          <w:szCs w:val="24"/>
          <w:highlight w:val="none"/>
        </w:rPr>
        <w:t>，</w:t>
      </w:r>
      <w:r>
        <w:rPr>
          <w:rFonts w:ascii="宋体" w:hAnsi="宋体"/>
          <w:color w:val="auto"/>
          <w:kern w:val="0"/>
          <w:sz w:val="24"/>
          <w:szCs w:val="24"/>
          <w:highlight w:val="none"/>
        </w:rPr>
        <w:t>一经甲方查实</w:t>
      </w:r>
      <w:r>
        <w:rPr>
          <w:rFonts w:hint="eastAsia" w:ascii="宋体" w:hAnsi="宋体"/>
          <w:color w:val="auto"/>
          <w:kern w:val="0"/>
          <w:sz w:val="24"/>
          <w:szCs w:val="24"/>
          <w:highlight w:val="none"/>
        </w:rPr>
        <w:t>，</w:t>
      </w:r>
      <w:r>
        <w:rPr>
          <w:rFonts w:ascii="宋体" w:hAnsi="宋体"/>
          <w:color w:val="auto"/>
          <w:kern w:val="0"/>
          <w:sz w:val="24"/>
          <w:szCs w:val="24"/>
          <w:highlight w:val="none"/>
        </w:rPr>
        <w:t>乙方除采取返工、重建、更换材料等措施外</w:t>
      </w:r>
      <w:r>
        <w:rPr>
          <w:rFonts w:hint="eastAsia" w:ascii="宋体" w:hAnsi="宋体"/>
          <w:color w:val="auto"/>
          <w:kern w:val="0"/>
          <w:sz w:val="24"/>
          <w:szCs w:val="24"/>
          <w:highlight w:val="none"/>
        </w:rPr>
        <w:t>，</w:t>
      </w:r>
      <w:r>
        <w:rPr>
          <w:rFonts w:ascii="宋体" w:hAnsi="宋体"/>
          <w:color w:val="auto"/>
          <w:kern w:val="0"/>
          <w:sz w:val="24"/>
          <w:szCs w:val="24"/>
          <w:highlight w:val="none"/>
        </w:rPr>
        <w:t>乙方承担违约责任</w:t>
      </w:r>
      <w:r>
        <w:rPr>
          <w:rFonts w:hint="eastAsia" w:ascii="宋体" w:hAnsi="宋体"/>
          <w:color w:val="auto"/>
          <w:kern w:val="0"/>
          <w:sz w:val="24"/>
          <w:szCs w:val="24"/>
          <w:highlight w:val="none"/>
        </w:rPr>
        <w:t>，</w:t>
      </w:r>
      <w:r>
        <w:rPr>
          <w:rFonts w:ascii="宋体" w:hAnsi="宋体"/>
          <w:color w:val="auto"/>
          <w:kern w:val="0"/>
          <w:sz w:val="24"/>
          <w:szCs w:val="24"/>
          <w:highlight w:val="none"/>
        </w:rPr>
        <w:t>向甲方支付违约金1-10万元</w:t>
      </w:r>
      <w:r>
        <w:rPr>
          <w:rFonts w:hint="eastAsia" w:ascii="宋体" w:hAnsi="宋体"/>
          <w:color w:val="auto"/>
          <w:kern w:val="0"/>
          <w:sz w:val="24"/>
          <w:szCs w:val="24"/>
          <w:highlight w:val="none"/>
        </w:rPr>
        <w:t>。</w:t>
      </w:r>
    </w:p>
    <w:p w14:paraId="4038BAFC">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3.因乙方原因导致总工期延误，</w:t>
      </w:r>
      <w:r>
        <w:rPr>
          <w:rFonts w:ascii="宋体" w:hAnsi="宋体"/>
          <w:color w:val="auto"/>
          <w:kern w:val="0"/>
          <w:sz w:val="24"/>
          <w:szCs w:val="24"/>
          <w:highlight w:val="none"/>
        </w:rPr>
        <w:t>向甲方支付违约金</w:t>
      </w:r>
      <w:r>
        <w:rPr>
          <w:rFonts w:hint="eastAsia" w:ascii="宋体" w:hAnsi="宋体"/>
          <w:color w:val="auto"/>
          <w:kern w:val="0"/>
          <w:sz w:val="24"/>
          <w:szCs w:val="24"/>
          <w:highlight w:val="none"/>
        </w:rPr>
        <w:t>0.5</w:t>
      </w:r>
      <w:r>
        <w:rPr>
          <w:rFonts w:ascii="宋体" w:hAnsi="宋体"/>
          <w:color w:val="auto"/>
          <w:kern w:val="0"/>
          <w:sz w:val="24"/>
          <w:szCs w:val="24"/>
          <w:highlight w:val="none"/>
        </w:rPr>
        <w:t>万元</w:t>
      </w:r>
      <w:r>
        <w:rPr>
          <w:rFonts w:hint="eastAsia" w:ascii="宋体" w:hAnsi="宋体"/>
          <w:color w:val="auto"/>
          <w:kern w:val="0"/>
          <w:sz w:val="24"/>
          <w:szCs w:val="24"/>
          <w:highlight w:val="none"/>
        </w:rPr>
        <w:t>/天。</w:t>
      </w:r>
    </w:p>
    <w:p w14:paraId="7078B366">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4.</w:t>
      </w:r>
      <w:r>
        <w:rPr>
          <w:rFonts w:ascii="宋体" w:hAnsi="宋体"/>
          <w:color w:val="auto"/>
          <w:kern w:val="0"/>
          <w:sz w:val="24"/>
          <w:szCs w:val="24"/>
          <w:highlight w:val="none"/>
        </w:rPr>
        <w:t>合同终止约定</w:t>
      </w:r>
      <w:r>
        <w:rPr>
          <w:rFonts w:hint="eastAsia" w:ascii="宋体" w:hAnsi="宋体"/>
          <w:color w:val="auto"/>
          <w:kern w:val="0"/>
          <w:sz w:val="24"/>
          <w:szCs w:val="24"/>
          <w:highlight w:val="none"/>
        </w:rPr>
        <w:t>：</w:t>
      </w:r>
    </w:p>
    <w:p w14:paraId="73384ABA">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w:t>
      </w:r>
      <w:r>
        <w:rPr>
          <w:rFonts w:hint="eastAsia" w:ascii="宋体" w:hAnsi="宋体"/>
          <w:color w:val="auto"/>
          <w:kern w:val="0"/>
          <w:sz w:val="24"/>
          <w:szCs w:val="24"/>
          <w:highlight w:val="none"/>
          <w:lang w:val="en-US" w:eastAsia="zh-CN"/>
        </w:rPr>
        <w:t>1</w:t>
      </w:r>
      <w:r>
        <w:rPr>
          <w:rFonts w:hint="eastAsia" w:ascii="宋体" w:hAnsi="宋体"/>
          <w:color w:val="auto"/>
          <w:kern w:val="0"/>
          <w:sz w:val="24"/>
          <w:szCs w:val="24"/>
          <w:highlight w:val="none"/>
        </w:rPr>
        <w:t>）</w:t>
      </w:r>
      <w:r>
        <w:rPr>
          <w:rFonts w:ascii="宋体" w:hAnsi="宋体"/>
          <w:color w:val="auto"/>
          <w:kern w:val="0"/>
          <w:sz w:val="24"/>
          <w:szCs w:val="24"/>
          <w:highlight w:val="none"/>
        </w:rPr>
        <w:t>任何一方在合同期内终止合同</w:t>
      </w:r>
      <w:r>
        <w:rPr>
          <w:rFonts w:hint="eastAsia" w:ascii="宋体" w:hAnsi="宋体"/>
          <w:color w:val="auto"/>
          <w:kern w:val="0"/>
          <w:sz w:val="24"/>
          <w:szCs w:val="24"/>
          <w:highlight w:val="none"/>
        </w:rPr>
        <w:t>，</w:t>
      </w:r>
      <w:r>
        <w:rPr>
          <w:rFonts w:ascii="宋体" w:hAnsi="宋体"/>
          <w:color w:val="auto"/>
          <w:kern w:val="0"/>
          <w:sz w:val="24"/>
          <w:szCs w:val="24"/>
          <w:highlight w:val="none"/>
        </w:rPr>
        <w:t>必须提前</w:t>
      </w:r>
      <w:r>
        <w:rPr>
          <w:rFonts w:hint="eastAsia" w:ascii="宋体" w:hAnsi="宋体"/>
          <w:color w:val="auto"/>
          <w:kern w:val="0"/>
          <w:sz w:val="24"/>
          <w:szCs w:val="24"/>
          <w:highlight w:val="none"/>
          <w:lang w:val="en-US" w:eastAsia="zh-CN"/>
        </w:rPr>
        <w:t>三个</w:t>
      </w:r>
      <w:r>
        <w:rPr>
          <w:rFonts w:ascii="宋体" w:hAnsi="宋体"/>
          <w:color w:val="auto"/>
          <w:kern w:val="0"/>
          <w:sz w:val="24"/>
          <w:szCs w:val="24"/>
          <w:highlight w:val="none"/>
        </w:rPr>
        <w:t>月书面告知对方</w:t>
      </w:r>
      <w:r>
        <w:rPr>
          <w:rFonts w:hint="eastAsia" w:ascii="宋体" w:hAnsi="宋体"/>
          <w:color w:val="auto"/>
          <w:kern w:val="0"/>
          <w:sz w:val="24"/>
          <w:szCs w:val="24"/>
          <w:highlight w:val="none"/>
        </w:rPr>
        <w:t>，</w:t>
      </w:r>
      <w:r>
        <w:rPr>
          <w:rFonts w:ascii="宋体" w:hAnsi="宋体"/>
          <w:color w:val="auto"/>
          <w:kern w:val="0"/>
          <w:sz w:val="24"/>
          <w:szCs w:val="24"/>
          <w:highlight w:val="none"/>
        </w:rPr>
        <w:t>否则视为违约处理</w:t>
      </w:r>
      <w:r>
        <w:rPr>
          <w:rFonts w:hint="eastAsia" w:ascii="宋体" w:hAnsi="宋体"/>
          <w:color w:val="auto"/>
          <w:kern w:val="0"/>
          <w:sz w:val="24"/>
          <w:szCs w:val="24"/>
          <w:highlight w:val="none"/>
        </w:rPr>
        <w:t xml:space="preserve">。    </w:t>
      </w:r>
    </w:p>
    <w:p w14:paraId="6C72AE4B">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w:t>
      </w: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）签订施工承包合同后，试用期为6个月，承包期内如出现</w:t>
      </w:r>
      <w:r>
        <w:rPr>
          <w:rFonts w:ascii="宋体" w:hAnsi="宋体"/>
          <w:color w:val="auto"/>
          <w:kern w:val="0"/>
          <w:sz w:val="24"/>
          <w:szCs w:val="24"/>
          <w:highlight w:val="none"/>
        </w:rPr>
        <w:t>乙方不能按照甲方要求完成合同规定任务和质量、</w:t>
      </w:r>
      <w:r>
        <w:rPr>
          <w:rFonts w:hint="eastAsia" w:ascii="宋体" w:hAnsi="宋体"/>
          <w:color w:val="auto"/>
          <w:kern w:val="0"/>
          <w:sz w:val="24"/>
          <w:szCs w:val="24"/>
          <w:highlight w:val="none"/>
        </w:rPr>
        <w:t>安</w:t>
      </w:r>
      <w:r>
        <w:rPr>
          <w:rFonts w:ascii="宋体" w:hAnsi="宋体"/>
          <w:color w:val="auto"/>
          <w:kern w:val="0"/>
          <w:sz w:val="24"/>
          <w:szCs w:val="24"/>
          <w:highlight w:val="none"/>
        </w:rPr>
        <w:t>全生产施工要求</w:t>
      </w:r>
      <w:r>
        <w:rPr>
          <w:rFonts w:hint="eastAsia" w:ascii="宋体" w:hAnsi="宋体"/>
          <w:color w:val="auto"/>
          <w:kern w:val="0"/>
          <w:sz w:val="24"/>
          <w:szCs w:val="24"/>
          <w:highlight w:val="none"/>
        </w:rPr>
        <w:t>，</w:t>
      </w:r>
      <w:r>
        <w:rPr>
          <w:rFonts w:ascii="宋体" w:hAnsi="宋体"/>
          <w:color w:val="auto"/>
          <w:kern w:val="0"/>
          <w:sz w:val="24"/>
          <w:szCs w:val="24"/>
          <w:highlight w:val="none"/>
        </w:rPr>
        <w:t>经整改仍达不到要求。乙方不服从甲方计划、调度安排、连续</w:t>
      </w:r>
      <w:r>
        <w:rPr>
          <w:rFonts w:hint="eastAsia" w:ascii="宋体" w:hAnsi="宋体"/>
          <w:color w:val="auto"/>
          <w:kern w:val="0"/>
          <w:sz w:val="24"/>
          <w:szCs w:val="24"/>
          <w:highlight w:val="none"/>
          <w:lang w:val="en-US" w:eastAsia="zh-CN"/>
        </w:rPr>
        <w:t>2</w:t>
      </w:r>
      <w:r>
        <w:rPr>
          <w:rFonts w:ascii="宋体" w:hAnsi="宋体"/>
          <w:color w:val="auto"/>
          <w:kern w:val="0"/>
          <w:sz w:val="24"/>
          <w:szCs w:val="24"/>
          <w:highlight w:val="none"/>
        </w:rPr>
        <w:t>个月或累计</w:t>
      </w:r>
      <w:r>
        <w:rPr>
          <w:rFonts w:hint="eastAsia" w:ascii="宋体" w:hAnsi="宋体"/>
          <w:color w:val="auto"/>
          <w:kern w:val="0"/>
          <w:sz w:val="24"/>
          <w:szCs w:val="24"/>
          <w:highlight w:val="none"/>
          <w:lang w:val="en-US" w:eastAsia="zh-CN"/>
        </w:rPr>
        <w:t>3</w:t>
      </w:r>
      <w:r>
        <w:rPr>
          <w:rFonts w:ascii="宋体" w:hAnsi="宋体"/>
          <w:color w:val="auto"/>
          <w:kern w:val="0"/>
          <w:sz w:val="24"/>
          <w:szCs w:val="24"/>
          <w:highlight w:val="none"/>
        </w:rPr>
        <w:t>个月未完成计划</w:t>
      </w:r>
      <w:r>
        <w:rPr>
          <w:rFonts w:hint="eastAsia" w:ascii="宋体" w:hAnsi="宋体"/>
          <w:color w:val="auto"/>
          <w:kern w:val="0"/>
          <w:sz w:val="24"/>
          <w:szCs w:val="24"/>
          <w:highlight w:val="none"/>
        </w:rPr>
        <w:t>，</w:t>
      </w:r>
      <w:r>
        <w:rPr>
          <w:rFonts w:ascii="宋体" w:hAnsi="宋体"/>
          <w:color w:val="auto"/>
          <w:kern w:val="0"/>
          <w:sz w:val="24"/>
          <w:szCs w:val="24"/>
          <w:highlight w:val="none"/>
        </w:rPr>
        <w:t>甲方有权</w:t>
      </w:r>
      <w:r>
        <w:rPr>
          <w:rFonts w:hint="eastAsia" w:ascii="宋体" w:hAnsi="宋体"/>
          <w:color w:val="auto"/>
          <w:kern w:val="0"/>
          <w:sz w:val="24"/>
          <w:szCs w:val="24"/>
          <w:highlight w:val="none"/>
          <w:lang w:val="en-US" w:eastAsia="zh-CN"/>
        </w:rPr>
        <w:t>解除</w:t>
      </w:r>
      <w:r>
        <w:rPr>
          <w:rFonts w:ascii="宋体" w:hAnsi="宋体"/>
          <w:color w:val="auto"/>
          <w:kern w:val="0"/>
          <w:sz w:val="24"/>
          <w:szCs w:val="24"/>
          <w:highlight w:val="none"/>
        </w:rPr>
        <w:t>合同</w:t>
      </w:r>
      <w:r>
        <w:rPr>
          <w:rFonts w:hint="eastAsia" w:ascii="宋体" w:hAnsi="宋体"/>
          <w:color w:val="auto"/>
          <w:kern w:val="0"/>
          <w:sz w:val="24"/>
          <w:szCs w:val="24"/>
          <w:highlight w:val="none"/>
        </w:rPr>
        <w:t>，不给予任何形式的补偿，且将列入“不良记录”，三年内不得参加巨化集团公司所有企业的工程招标。</w:t>
      </w:r>
    </w:p>
    <w:p w14:paraId="1372A846">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w:t>
      </w:r>
      <w:r>
        <w:rPr>
          <w:rFonts w:hint="eastAsia" w:ascii="宋体" w:hAnsi="宋体"/>
          <w:color w:val="auto"/>
          <w:kern w:val="0"/>
          <w:sz w:val="24"/>
          <w:szCs w:val="24"/>
          <w:highlight w:val="none"/>
          <w:lang w:val="en-US" w:eastAsia="zh-CN"/>
        </w:rPr>
        <w:t>3</w:t>
      </w:r>
      <w:r>
        <w:rPr>
          <w:rFonts w:hint="eastAsia" w:ascii="宋体" w:hAnsi="宋体"/>
          <w:color w:val="auto"/>
          <w:kern w:val="0"/>
          <w:sz w:val="24"/>
          <w:szCs w:val="24"/>
          <w:highlight w:val="none"/>
        </w:rPr>
        <w:t>）</w:t>
      </w:r>
      <w:r>
        <w:rPr>
          <w:rFonts w:ascii="宋体" w:hAnsi="宋体"/>
          <w:color w:val="auto"/>
          <w:kern w:val="0"/>
          <w:sz w:val="24"/>
          <w:szCs w:val="24"/>
          <w:highlight w:val="none"/>
        </w:rPr>
        <w:t>乙方必须具备施工项目所涵盖的具有施工资格的各工种施工人员</w:t>
      </w:r>
      <w:r>
        <w:rPr>
          <w:rFonts w:hint="eastAsia" w:ascii="宋体" w:hAnsi="宋体"/>
          <w:color w:val="auto"/>
          <w:kern w:val="0"/>
          <w:sz w:val="24"/>
          <w:szCs w:val="24"/>
          <w:highlight w:val="none"/>
        </w:rPr>
        <w:t>，</w:t>
      </w:r>
      <w:r>
        <w:rPr>
          <w:rFonts w:ascii="宋体" w:hAnsi="宋体"/>
          <w:color w:val="auto"/>
          <w:kern w:val="0"/>
          <w:sz w:val="24"/>
          <w:szCs w:val="24"/>
          <w:highlight w:val="none"/>
        </w:rPr>
        <w:t>若因没有人员或不具备资格施工人员施工</w:t>
      </w:r>
      <w:r>
        <w:rPr>
          <w:rFonts w:hint="eastAsia" w:ascii="宋体" w:hAnsi="宋体"/>
          <w:color w:val="auto"/>
          <w:kern w:val="0"/>
          <w:sz w:val="24"/>
          <w:szCs w:val="24"/>
          <w:highlight w:val="none"/>
        </w:rPr>
        <w:t>，</w:t>
      </w:r>
      <w:r>
        <w:rPr>
          <w:rFonts w:ascii="宋体" w:hAnsi="宋体"/>
          <w:color w:val="auto"/>
          <w:kern w:val="0"/>
          <w:sz w:val="24"/>
          <w:szCs w:val="24"/>
          <w:highlight w:val="none"/>
        </w:rPr>
        <w:t>甲方</w:t>
      </w:r>
      <w:r>
        <w:rPr>
          <w:rFonts w:hint="eastAsia" w:ascii="宋体" w:hAnsi="宋体"/>
          <w:color w:val="auto"/>
          <w:kern w:val="0"/>
          <w:sz w:val="24"/>
          <w:szCs w:val="24"/>
          <w:highlight w:val="none"/>
        </w:rPr>
        <w:t>视</w:t>
      </w:r>
      <w:r>
        <w:rPr>
          <w:rFonts w:ascii="宋体" w:hAnsi="宋体"/>
          <w:color w:val="auto"/>
          <w:kern w:val="0"/>
          <w:sz w:val="24"/>
          <w:szCs w:val="24"/>
          <w:highlight w:val="none"/>
        </w:rPr>
        <w:t>为乙方已不具备施工资质</w:t>
      </w:r>
      <w:r>
        <w:rPr>
          <w:rFonts w:hint="eastAsia" w:ascii="宋体" w:hAnsi="宋体"/>
          <w:color w:val="auto"/>
          <w:kern w:val="0"/>
          <w:sz w:val="24"/>
          <w:szCs w:val="24"/>
          <w:highlight w:val="none"/>
        </w:rPr>
        <w:t>，</w:t>
      </w:r>
      <w:r>
        <w:rPr>
          <w:rFonts w:ascii="宋体" w:hAnsi="宋体"/>
          <w:color w:val="auto"/>
          <w:kern w:val="0"/>
          <w:sz w:val="24"/>
          <w:szCs w:val="24"/>
          <w:highlight w:val="none"/>
        </w:rPr>
        <w:t>甲方有权解除合同</w:t>
      </w:r>
      <w:r>
        <w:rPr>
          <w:rFonts w:hint="eastAsia" w:ascii="宋体" w:hAnsi="宋体"/>
          <w:color w:val="auto"/>
          <w:kern w:val="0"/>
          <w:sz w:val="24"/>
          <w:szCs w:val="24"/>
          <w:highlight w:val="none"/>
        </w:rPr>
        <w:t>，</w:t>
      </w:r>
      <w:r>
        <w:rPr>
          <w:rFonts w:ascii="宋体" w:hAnsi="宋体"/>
          <w:color w:val="auto"/>
          <w:kern w:val="0"/>
          <w:sz w:val="24"/>
          <w:szCs w:val="24"/>
          <w:highlight w:val="none"/>
        </w:rPr>
        <w:t>造成一切损失由乙方承担</w:t>
      </w:r>
      <w:r>
        <w:rPr>
          <w:rFonts w:hint="eastAsia" w:ascii="宋体" w:hAnsi="宋体"/>
          <w:color w:val="auto"/>
          <w:kern w:val="0"/>
          <w:sz w:val="24"/>
          <w:szCs w:val="24"/>
          <w:highlight w:val="none"/>
        </w:rPr>
        <w:t>。</w:t>
      </w:r>
    </w:p>
    <w:p w14:paraId="2B4FBC1E">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rPr>
        <w:t>（</w:t>
      </w:r>
      <w:r>
        <w:rPr>
          <w:rFonts w:hint="eastAsia" w:ascii="宋体" w:hAnsi="宋体"/>
          <w:color w:val="auto"/>
          <w:kern w:val="0"/>
          <w:sz w:val="24"/>
          <w:szCs w:val="24"/>
          <w:highlight w:val="none"/>
          <w:lang w:val="en-US" w:eastAsia="zh-CN"/>
        </w:rPr>
        <w:t>4</w:t>
      </w:r>
      <w:r>
        <w:rPr>
          <w:rFonts w:hint="eastAsia" w:ascii="宋体" w:hAnsi="宋体"/>
          <w:color w:val="auto"/>
          <w:kern w:val="0"/>
          <w:sz w:val="24"/>
          <w:szCs w:val="24"/>
          <w:highlight w:val="none"/>
        </w:rPr>
        <w:t>）</w:t>
      </w:r>
      <w:r>
        <w:rPr>
          <w:rFonts w:ascii="宋体" w:hAnsi="宋体"/>
          <w:color w:val="auto"/>
          <w:kern w:val="0"/>
          <w:sz w:val="24"/>
          <w:szCs w:val="24"/>
          <w:highlight w:val="none"/>
        </w:rPr>
        <w:t>乙方不按规定日期开工</w:t>
      </w:r>
      <w:r>
        <w:rPr>
          <w:rFonts w:hint="eastAsia" w:ascii="宋体" w:hAnsi="宋体"/>
          <w:color w:val="auto"/>
          <w:kern w:val="0"/>
          <w:sz w:val="24"/>
          <w:szCs w:val="24"/>
          <w:highlight w:val="none"/>
        </w:rPr>
        <w:t>，</w:t>
      </w:r>
      <w:r>
        <w:rPr>
          <w:rFonts w:ascii="宋体" w:hAnsi="宋体"/>
          <w:color w:val="auto"/>
          <w:kern w:val="0"/>
          <w:sz w:val="24"/>
          <w:szCs w:val="24"/>
          <w:highlight w:val="none"/>
        </w:rPr>
        <w:t>每逾期一天支付甲方10000元违约金</w:t>
      </w:r>
      <w:r>
        <w:rPr>
          <w:rFonts w:hint="eastAsia" w:ascii="宋体" w:hAnsi="宋体"/>
          <w:color w:val="auto"/>
          <w:kern w:val="0"/>
          <w:sz w:val="24"/>
          <w:szCs w:val="24"/>
          <w:highlight w:val="none"/>
        </w:rPr>
        <w:t>；</w:t>
      </w:r>
      <w:r>
        <w:rPr>
          <w:rFonts w:ascii="宋体" w:hAnsi="宋体"/>
          <w:color w:val="auto"/>
          <w:kern w:val="0"/>
          <w:sz w:val="24"/>
          <w:szCs w:val="24"/>
          <w:highlight w:val="none"/>
        </w:rPr>
        <w:t>连续20天仍不能正常开工</w:t>
      </w:r>
      <w:r>
        <w:rPr>
          <w:rFonts w:hint="eastAsia" w:ascii="宋体" w:hAnsi="宋体"/>
          <w:color w:val="auto"/>
          <w:kern w:val="0"/>
          <w:sz w:val="24"/>
          <w:szCs w:val="24"/>
          <w:highlight w:val="none"/>
        </w:rPr>
        <w:t>，</w:t>
      </w:r>
      <w:r>
        <w:rPr>
          <w:rFonts w:ascii="宋体" w:hAnsi="宋体"/>
          <w:color w:val="auto"/>
          <w:kern w:val="0"/>
          <w:sz w:val="24"/>
          <w:szCs w:val="24"/>
          <w:highlight w:val="none"/>
        </w:rPr>
        <w:t>甲方有权解除合同</w:t>
      </w:r>
      <w:r>
        <w:rPr>
          <w:rFonts w:hint="eastAsia" w:ascii="宋体" w:hAnsi="宋体"/>
          <w:color w:val="auto"/>
          <w:kern w:val="0"/>
          <w:sz w:val="24"/>
          <w:szCs w:val="24"/>
          <w:highlight w:val="none"/>
        </w:rPr>
        <w:t>，</w:t>
      </w:r>
      <w:r>
        <w:rPr>
          <w:rFonts w:ascii="宋体" w:hAnsi="宋体"/>
          <w:color w:val="auto"/>
          <w:kern w:val="0"/>
          <w:sz w:val="24"/>
          <w:szCs w:val="24"/>
          <w:highlight w:val="none"/>
        </w:rPr>
        <w:t>乙方向甲方支付30万元违约金</w:t>
      </w:r>
      <w:r>
        <w:rPr>
          <w:rFonts w:hint="eastAsia" w:ascii="宋体" w:hAnsi="宋体"/>
          <w:color w:val="auto"/>
          <w:kern w:val="0"/>
          <w:sz w:val="24"/>
          <w:szCs w:val="24"/>
          <w:highlight w:val="none"/>
        </w:rPr>
        <w:t>。</w:t>
      </w:r>
    </w:p>
    <w:p w14:paraId="48B78184">
      <w:pPr>
        <w:autoSpaceDE w:val="0"/>
        <w:autoSpaceDN w:val="0"/>
        <w:adjustRightInd w:val="0"/>
        <w:spacing w:line="360" w:lineRule="auto"/>
        <w:ind w:firstLine="480" w:firstLineChars="200"/>
        <w:jc w:val="left"/>
        <w:rPr>
          <w:rFonts w:hint="eastAsia"/>
          <w:color w:val="auto"/>
          <w:sz w:val="24"/>
          <w:szCs w:val="24"/>
          <w:highlight w:val="none"/>
        </w:rPr>
      </w:pP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）因国家对矿山外包单位管理政策发生变化的，双方应友好协商处理相关问题。</w:t>
      </w:r>
    </w:p>
    <w:p w14:paraId="7F645460">
      <w:pPr>
        <w:widowControl/>
        <w:spacing w:line="360" w:lineRule="auto"/>
        <w:jc w:val="left"/>
        <w:rPr>
          <w:rFonts w:ascii="宋体" w:hAnsi="宋体" w:cs="宋体"/>
          <w:b/>
          <w:bCs/>
          <w:color w:val="auto"/>
          <w:sz w:val="24"/>
          <w:szCs w:val="24"/>
          <w:highlight w:val="none"/>
        </w:rPr>
      </w:pPr>
      <w:r>
        <w:rPr>
          <w:rFonts w:hint="eastAsia"/>
          <w:color w:val="auto"/>
          <w:sz w:val="24"/>
          <w:szCs w:val="24"/>
          <w:highlight w:val="none"/>
        </w:rPr>
        <w:t xml:space="preserve">    </w:t>
      </w:r>
      <w:r>
        <w:rPr>
          <w:rFonts w:hint="eastAsia" w:ascii="宋体" w:hAnsi="宋体" w:cs="宋体"/>
          <w:b/>
          <w:bCs/>
          <w:color w:val="auto"/>
          <w:sz w:val="24"/>
          <w:szCs w:val="24"/>
          <w:highlight w:val="none"/>
        </w:rPr>
        <w:t>第</w:t>
      </w:r>
      <w:r>
        <w:rPr>
          <w:rFonts w:hint="eastAsia" w:ascii="宋体" w:hAnsi="宋体" w:cs="宋体"/>
          <w:b/>
          <w:bCs/>
          <w:color w:val="auto"/>
          <w:sz w:val="24"/>
          <w:szCs w:val="24"/>
          <w:highlight w:val="none"/>
          <w:lang w:val="en-US" w:eastAsia="zh-CN"/>
        </w:rPr>
        <w:t>29</w:t>
      </w:r>
      <w:r>
        <w:rPr>
          <w:rFonts w:hint="eastAsia" w:ascii="宋体" w:hAnsi="宋体" w:cs="宋体"/>
          <w:b/>
          <w:bCs/>
          <w:color w:val="auto"/>
          <w:sz w:val="24"/>
          <w:szCs w:val="24"/>
          <w:highlight w:val="none"/>
        </w:rPr>
        <w:t xml:space="preserve">条 </w:t>
      </w:r>
      <w:r>
        <w:rPr>
          <w:rFonts w:ascii="宋体" w:hAnsi="宋体"/>
          <w:b/>
          <w:bCs/>
          <w:color w:val="auto"/>
          <w:sz w:val="24"/>
          <w:szCs w:val="24"/>
          <w:highlight w:val="none"/>
        </w:rPr>
        <w:t xml:space="preserve"> </w:t>
      </w:r>
      <w:r>
        <w:rPr>
          <w:rFonts w:hint="eastAsia" w:ascii="宋体" w:hAnsi="宋体" w:cs="宋体"/>
          <w:b/>
          <w:bCs/>
          <w:color w:val="auto"/>
          <w:sz w:val="24"/>
          <w:szCs w:val="24"/>
          <w:highlight w:val="none"/>
        </w:rPr>
        <w:t>索赔</w:t>
      </w:r>
    </w:p>
    <w:p w14:paraId="766CBC3D">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按通用条款执行。</w:t>
      </w:r>
    </w:p>
    <w:p w14:paraId="425E4A1D">
      <w:pPr>
        <w:pStyle w:val="36"/>
        <w:spacing w:before="0" w:after="0" w:line="360" w:lineRule="auto"/>
        <w:ind w:left="250" w:right="24" w:firstLine="253" w:firstLineChars="100"/>
        <w:outlineLvl w:val="0"/>
        <w:rPr>
          <w:rFonts w:ascii="宋体" w:hAnsi="宋体"/>
          <w:b/>
          <w:bCs/>
          <w:color w:val="auto"/>
          <w:spacing w:val="6"/>
          <w:szCs w:val="24"/>
          <w:highlight w:val="none"/>
        </w:rPr>
      </w:pPr>
      <w:bookmarkStart w:id="440" w:name="_Toc72846895"/>
      <w:bookmarkStart w:id="441" w:name="_Toc72846744"/>
      <w:r>
        <w:rPr>
          <w:rFonts w:hint="eastAsia" w:ascii="宋体" w:hAnsi="宋体"/>
          <w:b/>
          <w:bCs/>
          <w:color w:val="auto"/>
          <w:spacing w:val="6"/>
          <w:szCs w:val="24"/>
          <w:highlight w:val="none"/>
          <w:lang w:val="en-US" w:eastAsia="zh-CN"/>
        </w:rPr>
        <w:t>十</w:t>
      </w:r>
      <w:r>
        <w:rPr>
          <w:rFonts w:hint="eastAsia" w:ascii="宋体" w:hAnsi="宋体"/>
          <w:b/>
          <w:bCs/>
          <w:color w:val="auto"/>
          <w:spacing w:val="6"/>
          <w:szCs w:val="24"/>
          <w:highlight w:val="none"/>
        </w:rPr>
        <w:t>、其他</w:t>
      </w:r>
      <w:bookmarkEnd w:id="440"/>
      <w:bookmarkEnd w:id="441"/>
    </w:p>
    <w:p w14:paraId="2F4200BD">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ascii="宋体" w:hAnsi="宋体"/>
          <w:color w:val="auto"/>
          <w:kern w:val="0"/>
          <w:sz w:val="24"/>
          <w:szCs w:val="24"/>
          <w:highlight w:val="none"/>
        </w:rPr>
        <w:t>1.</w:t>
      </w:r>
      <w:r>
        <w:rPr>
          <w:rFonts w:hint="eastAsia" w:ascii="宋体" w:hAnsi="宋体"/>
          <w:color w:val="auto"/>
          <w:kern w:val="0"/>
          <w:sz w:val="24"/>
          <w:szCs w:val="24"/>
          <w:highlight w:val="none"/>
        </w:rPr>
        <w:t xml:space="preserve">本工程双方约定投保内容如下：  </w:t>
      </w:r>
    </w:p>
    <w:p w14:paraId="15AEB3C3">
      <w:pPr>
        <w:autoSpaceDE w:val="0"/>
        <w:autoSpaceDN w:val="0"/>
        <w:adjustRightInd w:val="0"/>
        <w:spacing w:line="360" w:lineRule="auto"/>
        <w:ind w:firstLine="480" w:firstLineChars="20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甲方投保内容：</w:t>
      </w:r>
      <w:r>
        <w:rPr>
          <w:rFonts w:hint="eastAsia" w:ascii="宋体" w:hAnsi="宋体"/>
          <w:color w:val="auto"/>
          <w:kern w:val="0"/>
          <w:sz w:val="24"/>
          <w:szCs w:val="24"/>
          <w:highlight w:val="none"/>
          <w:u w:val="single"/>
        </w:rPr>
        <w:t xml:space="preserve">      </w:t>
      </w:r>
    </w:p>
    <w:p w14:paraId="3650FB17">
      <w:pPr>
        <w:autoSpaceDE w:val="0"/>
        <w:autoSpaceDN w:val="0"/>
        <w:adjustRightInd w:val="0"/>
        <w:spacing w:line="360" w:lineRule="auto"/>
        <w:ind w:firstLine="480" w:firstLineChars="20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甲方委托承包人办理的保险事项：</w:t>
      </w:r>
      <w:r>
        <w:rPr>
          <w:rFonts w:hint="eastAsia" w:ascii="宋体" w:hAnsi="宋体"/>
          <w:color w:val="auto"/>
          <w:kern w:val="0"/>
          <w:sz w:val="24"/>
          <w:szCs w:val="24"/>
          <w:highlight w:val="none"/>
          <w:u w:val="single"/>
        </w:rPr>
        <w:t xml:space="preserve">       </w:t>
      </w:r>
    </w:p>
    <w:p w14:paraId="6E3D9FB3">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乙方投保内容：</w:t>
      </w:r>
    </w:p>
    <w:p w14:paraId="061CDE1E">
      <w:pPr>
        <w:autoSpaceDE w:val="0"/>
        <w:autoSpaceDN w:val="0"/>
        <w:adjustRightInd w:val="0"/>
        <w:spacing w:line="360" w:lineRule="auto"/>
        <w:ind w:firstLine="240" w:firstLineChars="10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（1）</w:t>
      </w:r>
      <w:r>
        <w:rPr>
          <w:rFonts w:hint="eastAsia" w:ascii="宋体" w:hAnsi="宋体"/>
          <w:color w:val="auto"/>
          <w:kern w:val="0"/>
          <w:sz w:val="24"/>
          <w:szCs w:val="24"/>
          <w:highlight w:val="none"/>
          <w:u w:val="single"/>
        </w:rPr>
        <w:t>工程开工前，承包人按相关规定办理。</w:t>
      </w:r>
    </w:p>
    <w:p w14:paraId="5115F1F6">
      <w:pPr>
        <w:widowControl/>
        <w:adjustRightInd w:val="0"/>
        <w:snapToGrid w:val="0"/>
        <w:spacing w:line="360" w:lineRule="auto"/>
        <w:ind w:firstLine="240" w:firstLineChars="100"/>
        <w:rPr>
          <w:rFonts w:ascii="宋体" w:hAnsi="宋体"/>
          <w:color w:val="auto"/>
          <w:sz w:val="24"/>
          <w:szCs w:val="24"/>
          <w:highlight w:val="none"/>
          <w:u w:val="single"/>
        </w:rPr>
      </w:pPr>
      <w:r>
        <w:rPr>
          <w:rFonts w:hint="eastAsia" w:ascii="宋体" w:hAnsi="宋体"/>
          <w:color w:val="auto"/>
          <w:sz w:val="24"/>
          <w:szCs w:val="24"/>
          <w:highlight w:val="none"/>
        </w:rPr>
        <w:t>（2）</w:t>
      </w:r>
      <w:r>
        <w:rPr>
          <w:rFonts w:hint="eastAsia" w:ascii="宋体" w:hAnsi="宋体"/>
          <w:color w:val="auto"/>
          <w:sz w:val="24"/>
          <w:szCs w:val="24"/>
          <w:highlight w:val="none"/>
          <w:u w:val="single"/>
        </w:rPr>
        <w:t>合同范围内永久机械、设备办理保险。</w:t>
      </w:r>
    </w:p>
    <w:p w14:paraId="4FC0E8A5">
      <w:pPr>
        <w:autoSpaceDE w:val="0"/>
        <w:autoSpaceDN w:val="0"/>
        <w:adjustRightInd w:val="0"/>
        <w:spacing w:line="360" w:lineRule="auto"/>
        <w:ind w:firstLine="240" w:firstLineChars="100"/>
        <w:jc w:val="left"/>
        <w:rPr>
          <w:rFonts w:hint="eastAsia" w:ascii="宋体" w:hAnsi="宋体"/>
          <w:color w:val="auto"/>
          <w:kern w:val="0"/>
          <w:sz w:val="24"/>
          <w:szCs w:val="24"/>
          <w:highlight w:val="none"/>
          <w:u w:val="single"/>
        </w:rPr>
      </w:pPr>
      <w:r>
        <w:rPr>
          <w:rFonts w:hint="eastAsia" w:ascii="宋体" w:hAnsi="宋体"/>
          <w:color w:val="auto"/>
          <w:kern w:val="0"/>
          <w:sz w:val="24"/>
          <w:szCs w:val="24"/>
          <w:highlight w:val="none"/>
        </w:rPr>
        <w:t>（3）</w:t>
      </w:r>
      <w:r>
        <w:rPr>
          <w:rFonts w:hint="eastAsia" w:ascii="宋体" w:hAnsi="宋体"/>
          <w:color w:val="auto"/>
          <w:kern w:val="0"/>
          <w:sz w:val="24"/>
          <w:szCs w:val="24"/>
          <w:highlight w:val="none"/>
          <w:u w:val="single"/>
        </w:rPr>
        <w:t>本工程保险，承包人投保须报发包人认可、备案。</w:t>
      </w:r>
    </w:p>
    <w:p w14:paraId="313179D5">
      <w:pPr>
        <w:widowControl/>
        <w:spacing w:line="360" w:lineRule="auto"/>
        <w:jc w:val="left"/>
        <w:rPr>
          <w:color w:val="auto"/>
          <w:sz w:val="24"/>
          <w:szCs w:val="24"/>
          <w:highlight w:val="none"/>
        </w:rPr>
      </w:pPr>
      <w:r>
        <w:rPr>
          <w:rFonts w:hint="eastAsia"/>
          <w:color w:val="auto"/>
          <w:sz w:val="24"/>
          <w:szCs w:val="24"/>
          <w:highlight w:val="none"/>
        </w:rPr>
        <w:t xml:space="preserve">  （4）根据甲方《承包商、供应商安全管理制度》，签订合同前，</w:t>
      </w:r>
      <w:r>
        <w:rPr>
          <w:rFonts w:hint="eastAsia"/>
          <w:color w:val="auto"/>
          <w:sz w:val="24"/>
          <w:szCs w:val="24"/>
          <w:highlight w:val="none"/>
          <w:lang w:val="en-US" w:eastAsia="zh-CN"/>
        </w:rPr>
        <w:t>乙方应依据</w:t>
      </w:r>
      <w:r>
        <w:rPr>
          <w:rFonts w:hint="eastAsia"/>
          <w:color w:val="auto"/>
          <w:sz w:val="24"/>
          <w:szCs w:val="24"/>
          <w:highlight w:val="none"/>
        </w:rPr>
        <w:t>（浙财建〔2017〕142 号）</w:t>
      </w:r>
      <w:r>
        <w:rPr>
          <w:rFonts w:hint="eastAsia"/>
          <w:color w:val="auto"/>
          <w:sz w:val="24"/>
          <w:szCs w:val="24"/>
          <w:highlight w:val="none"/>
          <w:lang w:val="en-US" w:eastAsia="zh-CN"/>
        </w:rPr>
        <w:t>文件应在开工前投保安责险，由施工总承包企业以项目为单位统一办理（分包单位由总承包企业负责）</w:t>
      </w:r>
      <w:r>
        <w:rPr>
          <w:rFonts w:hint="eastAsia"/>
          <w:color w:val="auto"/>
          <w:sz w:val="24"/>
          <w:szCs w:val="24"/>
          <w:highlight w:val="none"/>
        </w:rPr>
        <w:t>。</w:t>
      </w:r>
    </w:p>
    <w:p w14:paraId="2F7ED383">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ascii="宋体" w:hAnsi="宋体"/>
          <w:color w:val="auto"/>
          <w:kern w:val="0"/>
          <w:sz w:val="24"/>
          <w:szCs w:val="24"/>
          <w:highlight w:val="none"/>
        </w:rPr>
        <w:t>3.</w:t>
      </w:r>
      <w:r>
        <w:rPr>
          <w:rFonts w:hint="eastAsia" w:ascii="宋体" w:hAnsi="宋体"/>
          <w:color w:val="auto"/>
          <w:kern w:val="0"/>
          <w:sz w:val="24"/>
          <w:szCs w:val="24"/>
          <w:highlight w:val="none"/>
        </w:rPr>
        <w:t>乙方在施工过程中的对周围环境污染必须有严格环境保护措施，并承担可能由此引发的纠纷及后果。</w:t>
      </w:r>
    </w:p>
    <w:p w14:paraId="309CA923">
      <w:pPr>
        <w:autoSpaceDE w:val="0"/>
        <w:autoSpaceDN w:val="0"/>
        <w:adjustRightInd w:val="0"/>
        <w:spacing w:line="360" w:lineRule="auto"/>
        <w:ind w:firstLine="480" w:firstLineChars="200"/>
        <w:jc w:val="left"/>
        <w:rPr>
          <w:color w:val="auto"/>
          <w:sz w:val="24"/>
          <w:szCs w:val="24"/>
          <w:highlight w:val="none"/>
        </w:rPr>
      </w:pPr>
      <w:r>
        <w:rPr>
          <w:rFonts w:ascii="宋体" w:hAnsi="宋体"/>
          <w:color w:val="auto"/>
          <w:kern w:val="0"/>
          <w:sz w:val="24"/>
          <w:szCs w:val="24"/>
          <w:highlight w:val="none"/>
        </w:rPr>
        <w:t>4</w:t>
      </w:r>
      <w:r>
        <w:rPr>
          <w:rFonts w:hint="eastAsia" w:ascii="宋体" w:hAnsi="宋体"/>
          <w:color w:val="auto"/>
          <w:kern w:val="0"/>
          <w:sz w:val="24"/>
          <w:szCs w:val="24"/>
          <w:highlight w:val="none"/>
        </w:rPr>
        <w:t>.双方</w:t>
      </w:r>
      <w:r>
        <w:rPr>
          <w:rFonts w:ascii="宋体" w:hAnsi="宋体"/>
          <w:color w:val="auto"/>
          <w:kern w:val="0"/>
          <w:sz w:val="24"/>
          <w:szCs w:val="24"/>
          <w:highlight w:val="none"/>
        </w:rPr>
        <w:t>约定</w:t>
      </w:r>
      <w:r>
        <w:rPr>
          <w:rFonts w:hint="eastAsia" w:ascii="宋体" w:hAnsi="宋体"/>
          <w:color w:val="auto"/>
          <w:kern w:val="0"/>
          <w:sz w:val="24"/>
          <w:szCs w:val="24"/>
          <w:highlight w:val="none"/>
        </w:rPr>
        <w:t>在价格、质量满足施工需要</w:t>
      </w:r>
      <w:r>
        <w:rPr>
          <w:rFonts w:ascii="宋体" w:hAnsi="宋体"/>
          <w:color w:val="auto"/>
          <w:kern w:val="0"/>
          <w:sz w:val="24"/>
          <w:szCs w:val="24"/>
          <w:highlight w:val="none"/>
        </w:rPr>
        <w:t>的前提下，乙方在施工过程中</w:t>
      </w:r>
      <w:r>
        <w:rPr>
          <w:color w:val="auto"/>
          <w:sz w:val="24"/>
          <w:szCs w:val="24"/>
          <w:highlight w:val="none"/>
        </w:rPr>
        <w:t>优先采用</w:t>
      </w:r>
      <w:r>
        <w:rPr>
          <w:rFonts w:hint="eastAsia"/>
          <w:color w:val="auto"/>
          <w:sz w:val="24"/>
          <w:szCs w:val="24"/>
          <w:highlight w:val="none"/>
        </w:rPr>
        <w:t>甲方</w:t>
      </w:r>
      <w:r>
        <w:rPr>
          <w:color w:val="auto"/>
          <w:sz w:val="24"/>
          <w:szCs w:val="24"/>
          <w:highlight w:val="none"/>
        </w:rPr>
        <w:t>合作单位生产的建材</w:t>
      </w:r>
      <w:r>
        <w:rPr>
          <w:rFonts w:hint="eastAsia"/>
          <w:color w:val="auto"/>
          <w:sz w:val="24"/>
          <w:szCs w:val="24"/>
          <w:highlight w:val="none"/>
        </w:rPr>
        <w:t>单位</w:t>
      </w:r>
      <w:r>
        <w:rPr>
          <w:color w:val="auto"/>
          <w:sz w:val="24"/>
          <w:szCs w:val="24"/>
          <w:highlight w:val="none"/>
        </w:rPr>
        <w:t>。</w:t>
      </w:r>
    </w:p>
    <w:p w14:paraId="4441D6FB">
      <w:pPr>
        <w:autoSpaceDE w:val="0"/>
        <w:autoSpaceDN w:val="0"/>
        <w:adjustRightInd w:val="0"/>
        <w:spacing w:line="360" w:lineRule="auto"/>
        <w:ind w:firstLine="480" w:firstLineChars="200"/>
        <w:jc w:val="left"/>
        <w:rPr>
          <w:color w:val="auto"/>
          <w:sz w:val="24"/>
          <w:szCs w:val="24"/>
          <w:highlight w:val="none"/>
        </w:rPr>
      </w:pPr>
      <w:r>
        <w:rPr>
          <w:rFonts w:hint="eastAsia"/>
          <w:color w:val="auto"/>
          <w:sz w:val="24"/>
          <w:szCs w:val="24"/>
          <w:highlight w:val="none"/>
        </w:rPr>
        <w:t>5</w:t>
      </w:r>
      <w:r>
        <w:rPr>
          <w:rFonts w:hint="eastAsia"/>
          <w:color w:val="auto"/>
          <w:sz w:val="24"/>
          <w:szCs w:val="24"/>
          <w:highlight w:val="none"/>
          <w:lang w:val="en-US" w:eastAsia="zh-CN"/>
        </w:rPr>
        <w:t>.</w:t>
      </w:r>
      <w:r>
        <w:rPr>
          <w:rFonts w:hint="eastAsia"/>
          <w:color w:val="auto"/>
          <w:sz w:val="24"/>
          <w:szCs w:val="24"/>
          <w:highlight w:val="none"/>
        </w:rPr>
        <w:t xml:space="preserve"> 合同当事人对建筑工人工资清偿事宜和违约责任的约定：承包人应建立农民工工资专项账户，确保民工工资按时兑现，绝不拖欠，否则视为违约，扣除全部履约保证金。</w:t>
      </w:r>
    </w:p>
    <w:p w14:paraId="05C628F8">
      <w:pPr>
        <w:autoSpaceDE w:val="0"/>
        <w:autoSpaceDN w:val="0"/>
        <w:adjustRightInd w:val="0"/>
        <w:spacing w:line="360" w:lineRule="auto"/>
        <w:ind w:firstLine="480" w:firstLineChars="200"/>
        <w:jc w:val="left"/>
        <w:rPr>
          <w:rFonts w:hint="eastAsia"/>
          <w:color w:val="auto"/>
          <w:sz w:val="24"/>
          <w:szCs w:val="24"/>
          <w:highlight w:val="none"/>
        </w:rPr>
      </w:pPr>
      <w:r>
        <w:rPr>
          <w:rFonts w:hint="eastAsia" w:ascii="宋体" w:hAnsi="宋体"/>
          <w:color w:val="auto"/>
          <w:sz w:val="24"/>
          <w:szCs w:val="24"/>
          <w:highlight w:val="none"/>
          <w:lang w:val="en-US" w:eastAsia="zh-CN"/>
        </w:rPr>
        <w:t>6</w:t>
      </w:r>
      <w:r>
        <w:rPr>
          <w:rFonts w:ascii="宋体" w:hAnsi="宋体"/>
          <w:color w:val="auto"/>
          <w:sz w:val="24"/>
          <w:szCs w:val="24"/>
          <w:highlight w:val="none"/>
        </w:rPr>
        <w:t>.</w:t>
      </w:r>
      <w:r>
        <w:rPr>
          <w:rFonts w:hint="eastAsia" w:ascii="宋体" w:hAnsi="宋体"/>
          <w:color w:val="auto"/>
          <w:sz w:val="24"/>
          <w:szCs w:val="24"/>
          <w:highlight w:val="none"/>
        </w:rPr>
        <w:t>根据承包单位施工完成情况，甲方有权调整施工承包范围。</w:t>
      </w:r>
    </w:p>
    <w:p w14:paraId="7AAB9C97">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7</w:t>
      </w:r>
      <w:r>
        <w:rPr>
          <w:rFonts w:ascii="宋体" w:hAnsi="宋体"/>
          <w:color w:val="auto"/>
          <w:kern w:val="0"/>
          <w:sz w:val="24"/>
          <w:szCs w:val="24"/>
          <w:highlight w:val="none"/>
        </w:rPr>
        <w:t>.</w:t>
      </w:r>
      <w:r>
        <w:rPr>
          <w:rFonts w:hint="eastAsia" w:ascii="宋体" w:hAnsi="宋体"/>
          <w:color w:val="auto"/>
          <w:kern w:val="0"/>
          <w:sz w:val="24"/>
          <w:szCs w:val="24"/>
          <w:highlight w:val="none"/>
        </w:rPr>
        <w:t>本合同双方签字盖章后生效，履行完合同规定各项权利义务后终止。</w:t>
      </w:r>
    </w:p>
    <w:p w14:paraId="1505FE99">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8</w:t>
      </w:r>
      <w:r>
        <w:rPr>
          <w:rFonts w:ascii="宋体" w:hAnsi="宋体"/>
          <w:color w:val="auto"/>
          <w:kern w:val="0"/>
          <w:sz w:val="24"/>
          <w:szCs w:val="24"/>
          <w:highlight w:val="none"/>
        </w:rPr>
        <w:t>.</w:t>
      </w:r>
      <w:r>
        <w:rPr>
          <w:rFonts w:hint="eastAsia" w:ascii="宋体" w:hAnsi="宋体"/>
          <w:color w:val="auto"/>
          <w:kern w:val="0"/>
          <w:sz w:val="24"/>
          <w:szCs w:val="24"/>
          <w:highlight w:val="none"/>
        </w:rPr>
        <w:t>未尽事宜，双方协商解决，可附补充条款，与本合同具有同等效力。</w:t>
      </w:r>
    </w:p>
    <w:p w14:paraId="3C52C8BD">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r>
        <w:rPr>
          <w:rFonts w:hint="eastAsia" w:ascii="宋体" w:hAnsi="宋体"/>
          <w:color w:val="auto"/>
          <w:kern w:val="0"/>
          <w:sz w:val="24"/>
          <w:szCs w:val="24"/>
          <w:highlight w:val="none"/>
          <w:lang w:val="en-US" w:eastAsia="zh-CN"/>
        </w:rPr>
        <w:t>10</w:t>
      </w:r>
      <w:r>
        <w:rPr>
          <w:rFonts w:hint="eastAsia" w:ascii="宋体" w:hAnsi="宋体"/>
          <w:color w:val="auto"/>
          <w:kern w:val="0"/>
          <w:sz w:val="24"/>
          <w:szCs w:val="24"/>
          <w:highlight w:val="none"/>
        </w:rPr>
        <w:t>.本合同一式十二份，甲方七份，乙方五份。</w:t>
      </w:r>
    </w:p>
    <w:p w14:paraId="5D5BF569">
      <w:pPr>
        <w:autoSpaceDE w:val="0"/>
        <w:autoSpaceDN w:val="0"/>
        <w:adjustRightInd w:val="0"/>
        <w:spacing w:line="360" w:lineRule="auto"/>
        <w:ind w:firstLine="480" w:firstLineChars="200"/>
        <w:jc w:val="center"/>
        <w:rPr>
          <w:rFonts w:hint="eastAsia" w:ascii="宋体" w:hAnsi="宋体"/>
          <w:color w:val="auto"/>
          <w:kern w:val="0"/>
          <w:sz w:val="24"/>
          <w:szCs w:val="24"/>
          <w:highlight w:val="none"/>
          <w:lang w:eastAsia="zh-CN"/>
        </w:rPr>
      </w:pPr>
    </w:p>
    <w:p w14:paraId="7347133E">
      <w:pPr>
        <w:autoSpaceDE w:val="0"/>
        <w:autoSpaceDN w:val="0"/>
        <w:adjustRightInd w:val="0"/>
        <w:spacing w:line="360" w:lineRule="auto"/>
        <w:ind w:firstLine="480" w:firstLineChars="200"/>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rPr>
        <w:t>以下无正文</w:t>
      </w:r>
      <w:r>
        <w:rPr>
          <w:rFonts w:hint="eastAsia" w:ascii="宋体" w:hAnsi="宋体"/>
          <w:color w:val="auto"/>
          <w:kern w:val="0"/>
          <w:sz w:val="24"/>
          <w:szCs w:val="24"/>
          <w:highlight w:val="none"/>
          <w:lang w:eastAsia="zh-CN"/>
        </w:rPr>
        <w:t>）</w:t>
      </w:r>
    </w:p>
    <w:p w14:paraId="409BA3BE">
      <w:pPr>
        <w:autoSpaceDE w:val="0"/>
        <w:autoSpaceDN w:val="0"/>
        <w:adjustRightInd w:val="0"/>
        <w:spacing w:line="360" w:lineRule="auto"/>
        <w:ind w:firstLine="480" w:firstLineChars="200"/>
        <w:jc w:val="left"/>
        <w:rPr>
          <w:rFonts w:hint="eastAsia" w:ascii="宋体" w:hAnsi="宋体"/>
          <w:color w:val="auto"/>
          <w:kern w:val="0"/>
          <w:sz w:val="24"/>
          <w:szCs w:val="24"/>
          <w:highlight w:val="none"/>
        </w:rPr>
      </w:pPr>
    </w:p>
    <w:p w14:paraId="79BB06DA">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发包人：（签章）                   承包人：（签章） </w:t>
      </w:r>
    </w:p>
    <w:p w14:paraId="1E9814B2">
      <w:pPr>
        <w:spacing w:line="360" w:lineRule="auto"/>
        <w:rPr>
          <w:rFonts w:ascii="宋体" w:hAnsi="宋体"/>
          <w:color w:val="auto"/>
          <w:sz w:val="24"/>
          <w:szCs w:val="24"/>
          <w:highlight w:val="none"/>
        </w:rPr>
      </w:pPr>
      <w:r>
        <w:rPr>
          <w:rFonts w:hint="eastAsia" w:ascii="宋体" w:hAnsi="宋体"/>
          <w:color w:val="auto"/>
          <w:sz w:val="24"/>
          <w:szCs w:val="24"/>
          <w:highlight w:val="none"/>
          <w:lang w:eastAsia="zh-CN"/>
        </w:rPr>
        <w:t>浙江巨化化工矿业有限公司</w:t>
      </w:r>
      <w:r>
        <w:rPr>
          <w:rFonts w:hint="eastAsia" w:ascii="宋体" w:hAnsi="宋体"/>
          <w:color w:val="auto"/>
          <w:sz w:val="24"/>
          <w:szCs w:val="24"/>
          <w:highlight w:val="none"/>
        </w:rPr>
        <w:t xml:space="preserve">               </w:t>
      </w:r>
    </w:p>
    <w:p w14:paraId="17B27B11">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住所：                             住所：</w:t>
      </w:r>
    </w:p>
    <w:p w14:paraId="47A161A8">
      <w:pPr>
        <w:spacing w:line="360" w:lineRule="auto"/>
        <w:rPr>
          <w:rFonts w:ascii="宋体" w:hAnsi="宋体"/>
          <w:color w:val="auto"/>
          <w:sz w:val="24"/>
          <w:szCs w:val="24"/>
          <w:highlight w:val="none"/>
        </w:rPr>
      </w:pPr>
      <w:r>
        <w:rPr>
          <w:rFonts w:hint="eastAsia" w:ascii="宋体" w:hAnsi="宋体"/>
          <w:color w:val="auto"/>
          <w:sz w:val="24"/>
          <w:szCs w:val="24"/>
          <w:highlight w:val="none"/>
        </w:rPr>
        <w:t>法定代表人 ：                      法定代表人：</w:t>
      </w:r>
    </w:p>
    <w:p w14:paraId="4137F4E3">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或委托代理人：（签章）  </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或委托代理人：（签章）</w:t>
      </w:r>
    </w:p>
    <w:p w14:paraId="0D75CAD4">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开户银行：                       </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开户银行：</w:t>
      </w:r>
    </w:p>
    <w:p w14:paraId="210CB166">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19C0537E">
      <w:pPr>
        <w:spacing w:line="360" w:lineRule="auto"/>
        <w:rPr>
          <w:rFonts w:ascii="宋体" w:hAnsi="宋体"/>
          <w:color w:val="auto"/>
          <w:sz w:val="24"/>
          <w:szCs w:val="24"/>
          <w:highlight w:val="none"/>
        </w:rPr>
      </w:pPr>
      <w:r>
        <w:rPr>
          <w:rFonts w:hint="eastAsia" w:ascii="宋体" w:hAnsi="宋体"/>
          <w:color w:val="auto"/>
          <w:sz w:val="24"/>
          <w:szCs w:val="24"/>
          <w:highlight w:val="none"/>
        </w:rPr>
        <w:t xml:space="preserve">帐号：    </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r>
        <w:rPr>
          <w:rFonts w:hint="eastAsia" w:ascii="宋体" w:hAnsi="宋体"/>
          <w:color w:val="auto"/>
          <w:sz w:val="24"/>
          <w:szCs w:val="24"/>
          <w:highlight w:val="none"/>
        </w:rPr>
        <w:t>帐号：</w:t>
      </w:r>
    </w:p>
    <w:p w14:paraId="1DE91BDE">
      <w:pPr>
        <w:spacing w:line="360" w:lineRule="auto"/>
        <w:rPr>
          <w:rFonts w:ascii="宋体" w:hAnsi="宋体"/>
          <w:color w:val="auto"/>
          <w:sz w:val="24"/>
          <w:szCs w:val="24"/>
          <w:highlight w:val="none"/>
        </w:rPr>
      </w:pPr>
      <w:r>
        <w:rPr>
          <w:rFonts w:hint="eastAsia" w:ascii="宋体" w:hAnsi="宋体"/>
          <w:color w:val="auto"/>
          <w:sz w:val="24"/>
          <w:szCs w:val="24"/>
          <w:highlight w:val="none"/>
        </w:rPr>
        <w:t>邮编：                             邮编：</w:t>
      </w:r>
    </w:p>
    <w:p w14:paraId="02B5E703">
      <w:pPr>
        <w:spacing w:line="360" w:lineRule="auto"/>
        <w:rPr>
          <w:rFonts w:ascii="宋体" w:hAnsi="宋体"/>
          <w:color w:val="auto"/>
          <w:sz w:val="24"/>
          <w:szCs w:val="24"/>
          <w:highlight w:val="none"/>
        </w:rPr>
      </w:pPr>
      <w:r>
        <w:rPr>
          <w:rFonts w:hint="eastAsia" w:ascii="宋体" w:hAnsi="宋体"/>
          <w:color w:val="auto"/>
          <w:sz w:val="24"/>
          <w:szCs w:val="24"/>
          <w:highlight w:val="none"/>
        </w:rPr>
        <w:t>电话：                             电话：</w:t>
      </w:r>
    </w:p>
    <w:p w14:paraId="59921DAE">
      <w:pPr>
        <w:autoSpaceDE w:val="0"/>
        <w:autoSpaceDN w:val="0"/>
        <w:adjustRightInd w:val="0"/>
        <w:spacing w:line="360" w:lineRule="auto"/>
        <w:ind w:firstLine="3120" w:firstLineChars="1300"/>
        <w:jc w:val="left"/>
        <w:rPr>
          <w:rFonts w:hint="eastAsia" w:ascii="宋体" w:hAnsi="宋体"/>
          <w:color w:val="auto"/>
          <w:kern w:val="0"/>
          <w:sz w:val="24"/>
          <w:szCs w:val="24"/>
          <w:highlight w:val="none"/>
        </w:rPr>
      </w:pPr>
    </w:p>
    <w:p w14:paraId="2CAF08AB">
      <w:pPr>
        <w:autoSpaceDE w:val="0"/>
        <w:autoSpaceDN w:val="0"/>
        <w:adjustRightInd w:val="0"/>
        <w:spacing w:line="360" w:lineRule="auto"/>
        <w:ind w:firstLine="3120" w:firstLineChars="1300"/>
        <w:jc w:val="left"/>
        <w:rPr>
          <w:rFonts w:hint="eastAsia" w:ascii="宋体" w:hAnsi="宋体"/>
          <w:color w:val="auto"/>
          <w:kern w:val="0"/>
          <w:sz w:val="24"/>
          <w:szCs w:val="24"/>
          <w:highlight w:val="none"/>
        </w:rPr>
      </w:pPr>
    </w:p>
    <w:p w14:paraId="771AF852">
      <w:pPr>
        <w:autoSpaceDE w:val="0"/>
        <w:autoSpaceDN w:val="0"/>
        <w:adjustRightInd w:val="0"/>
        <w:spacing w:line="360" w:lineRule="auto"/>
        <w:ind w:firstLine="3120" w:firstLineChars="1300"/>
        <w:jc w:val="left"/>
        <w:rPr>
          <w:rFonts w:hint="eastAsia" w:ascii="宋体" w:hAnsi="宋体"/>
          <w:color w:val="auto"/>
          <w:kern w:val="0"/>
          <w:sz w:val="24"/>
          <w:szCs w:val="24"/>
          <w:highlight w:val="none"/>
        </w:rPr>
      </w:pPr>
    </w:p>
    <w:p w14:paraId="76644B5D">
      <w:pPr>
        <w:autoSpaceDE w:val="0"/>
        <w:autoSpaceDN w:val="0"/>
        <w:adjustRightInd w:val="0"/>
        <w:spacing w:line="360" w:lineRule="auto"/>
        <w:ind w:firstLine="3120" w:firstLineChars="1300"/>
        <w:jc w:val="left"/>
        <w:rPr>
          <w:rFonts w:hint="eastAsia" w:ascii="宋体" w:hAnsi="宋体"/>
          <w:color w:val="auto"/>
          <w:kern w:val="0"/>
          <w:sz w:val="24"/>
          <w:szCs w:val="24"/>
          <w:highlight w:val="none"/>
        </w:rPr>
      </w:pPr>
    </w:p>
    <w:p w14:paraId="7DFECF89">
      <w:pPr>
        <w:autoSpaceDE w:val="0"/>
        <w:autoSpaceDN w:val="0"/>
        <w:adjustRightInd w:val="0"/>
        <w:spacing w:line="360" w:lineRule="auto"/>
        <w:ind w:firstLine="3120" w:firstLineChars="1300"/>
        <w:jc w:val="left"/>
        <w:rPr>
          <w:rFonts w:hint="eastAsia" w:ascii="宋体" w:hAnsi="宋体"/>
          <w:color w:val="auto"/>
          <w:kern w:val="0"/>
          <w:sz w:val="24"/>
          <w:szCs w:val="24"/>
          <w:highlight w:val="none"/>
        </w:rPr>
      </w:pPr>
    </w:p>
    <w:p w14:paraId="15714DCF">
      <w:pPr>
        <w:autoSpaceDE w:val="0"/>
        <w:autoSpaceDN w:val="0"/>
        <w:adjustRightInd w:val="0"/>
        <w:spacing w:line="360" w:lineRule="auto"/>
        <w:ind w:firstLine="3120" w:firstLineChars="1300"/>
        <w:jc w:val="left"/>
        <w:rPr>
          <w:rFonts w:hint="eastAsia" w:ascii="宋体" w:hAnsi="宋体"/>
          <w:color w:val="auto"/>
          <w:kern w:val="0"/>
          <w:sz w:val="24"/>
          <w:szCs w:val="24"/>
          <w:highlight w:val="none"/>
        </w:rPr>
      </w:pPr>
    </w:p>
    <w:p w14:paraId="5F2E36D9">
      <w:pPr>
        <w:autoSpaceDE w:val="0"/>
        <w:autoSpaceDN w:val="0"/>
        <w:adjustRightInd w:val="0"/>
        <w:spacing w:line="360" w:lineRule="auto"/>
        <w:ind w:firstLine="3120" w:firstLineChars="1300"/>
        <w:jc w:val="left"/>
        <w:rPr>
          <w:rFonts w:ascii="宋体" w:hAnsi="宋体"/>
          <w:color w:val="auto"/>
          <w:kern w:val="0"/>
          <w:sz w:val="24"/>
          <w:szCs w:val="24"/>
          <w:highlight w:val="none"/>
        </w:rPr>
      </w:pPr>
      <w:r>
        <w:rPr>
          <w:rFonts w:hint="eastAsia" w:ascii="宋体" w:hAnsi="宋体"/>
          <w:color w:val="auto"/>
          <w:kern w:val="0"/>
          <w:sz w:val="24"/>
          <w:szCs w:val="24"/>
          <w:highlight w:val="none"/>
        </w:rPr>
        <w:t>签订日期：</w:t>
      </w:r>
      <w:r>
        <w:rPr>
          <w:rFonts w:ascii="宋体" w:hAnsi="宋体"/>
          <w:color w:val="auto"/>
          <w:kern w:val="0"/>
          <w:sz w:val="24"/>
          <w:szCs w:val="24"/>
          <w:highlight w:val="none"/>
          <w:u w:val="single"/>
        </w:rPr>
        <w:t>202</w:t>
      </w:r>
      <w:r>
        <w:rPr>
          <w:rFonts w:hint="eastAsia" w:ascii="宋体" w:hAnsi="宋体"/>
          <w:color w:val="auto"/>
          <w:kern w:val="0"/>
          <w:sz w:val="24"/>
          <w:szCs w:val="24"/>
          <w:highlight w:val="none"/>
          <w:u w:val="single"/>
        </w:rPr>
        <w:t>4</w:t>
      </w:r>
      <w:r>
        <w:rPr>
          <w:rFonts w:hint="eastAsia" w:ascii="宋体" w:hAnsi="宋体"/>
          <w:color w:val="auto"/>
          <w:kern w:val="0"/>
          <w:sz w:val="24"/>
          <w:szCs w:val="24"/>
          <w:highlight w:val="none"/>
        </w:rPr>
        <w:t>年</w:t>
      </w:r>
      <w:r>
        <w:rPr>
          <w:rFonts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月</w:t>
      </w:r>
      <w:r>
        <w:rPr>
          <w:rFonts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日</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 xml:space="preserve">              </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 xml:space="preserve">     </w:t>
      </w:r>
    </w:p>
    <w:p w14:paraId="46513FAA">
      <w:pPr>
        <w:pStyle w:val="36"/>
        <w:spacing w:before="0" w:after="0" w:line="360" w:lineRule="auto"/>
        <w:ind w:left="0" w:right="720" w:firstLine="3120" w:firstLineChars="1300"/>
        <w:jc w:val="both"/>
        <w:rPr>
          <w:rFonts w:hint="eastAsia" w:ascii="宋体" w:hAnsi="宋体"/>
          <w:color w:val="auto"/>
          <w:szCs w:val="24"/>
          <w:highlight w:val="none"/>
        </w:rPr>
      </w:pPr>
      <w:r>
        <w:rPr>
          <w:rFonts w:hint="eastAsia" w:ascii="宋体" w:hAnsi="宋体"/>
          <w:color w:val="auto"/>
          <w:szCs w:val="24"/>
          <w:highlight w:val="none"/>
        </w:rPr>
        <w:t>签订地点：</w:t>
      </w:r>
    </w:p>
    <w:p w14:paraId="1206A9DA">
      <w:pPr>
        <w:pStyle w:val="4"/>
        <w:spacing w:line="360" w:lineRule="auto"/>
        <w:jc w:val="left"/>
        <w:rPr>
          <w:rFonts w:hint="eastAsia"/>
          <w:color w:val="auto"/>
          <w:sz w:val="24"/>
          <w:szCs w:val="24"/>
          <w:highlight w:val="none"/>
        </w:rPr>
      </w:pPr>
      <w:bookmarkStart w:id="442" w:name="_Toc72846745"/>
      <w:bookmarkStart w:id="443" w:name="_Toc72846896"/>
    </w:p>
    <w:p w14:paraId="355287F7">
      <w:pPr>
        <w:pStyle w:val="4"/>
        <w:spacing w:line="360" w:lineRule="auto"/>
        <w:jc w:val="left"/>
        <w:rPr>
          <w:rFonts w:hint="eastAsia"/>
          <w:color w:val="auto"/>
          <w:sz w:val="24"/>
          <w:szCs w:val="24"/>
          <w:highlight w:val="none"/>
        </w:rPr>
      </w:pPr>
    </w:p>
    <w:p w14:paraId="462F31EF">
      <w:pPr>
        <w:rPr>
          <w:rFonts w:hint="eastAsia"/>
          <w:color w:val="auto"/>
          <w:sz w:val="24"/>
          <w:szCs w:val="24"/>
          <w:highlight w:val="none"/>
        </w:rPr>
      </w:pPr>
    </w:p>
    <w:p w14:paraId="6429880B">
      <w:pPr>
        <w:pStyle w:val="27"/>
        <w:rPr>
          <w:rFonts w:hint="eastAsia"/>
          <w:color w:val="auto"/>
          <w:sz w:val="24"/>
          <w:szCs w:val="24"/>
          <w:highlight w:val="none"/>
        </w:rPr>
      </w:pPr>
    </w:p>
    <w:p w14:paraId="54AF077F">
      <w:pPr>
        <w:pStyle w:val="27"/>
        <w:rPr>
          <w:rFonts w:hint="eastAsia"/>
          <w:color w:val="auto"/>
          <w:sz w:val="24"/>
          <w:szCs w:val="24"/>
          <w:highlight w:val="none"/>
        </w:rPr>
      </w:pPr>
    </w:p>
    <w:p w14:paraId="647F79B2">
      <w:pPr>
        <w:pStyle w:val="4"/>
        <w:spacing w:line="360" w:lineRule="auto"/>
        <w:jc w:val="left"/>
        <w:rPr>
          <w:rFonts w:hint="eastAsia" w:ascii="黑体" w:hAnsi="黑体" w:eastAsia="黑体" w:cs="黑体"/>
          <w:color w:val="auto"/>
          <w:szCs w:val="24"/>
          <w:highlight w:val="none"/>
        </w:rPr>
      </w:pPr>
      <w:r>
        <w:rPr>
          <w:rFonts w:hint="eastAsia"/>
          <w:color w:val="auto"/>
          <w:sz w:val="24"/>
          <w:szCs w:val="24"/>
          <w:highlight w:val="none"/>
        </w:rPr>
        <w:t>附件1：</w:t>
      </w:r>
      <w:bookmarkEnd w:id="442"/>
      <w:bookmarkEnd w:id="443"/>
    </w:p>
    <w:p w14:paraId="7BE8DB7F">
      <w:pPr>
        <w:pStyle w:val="36"/>
        <w:spacing w:before="0" w:after="0" w:line="360" w:lineRule="auto"/>
        <w:ind w:right="-6"/>
        <w:jc w:val="center"/>
        <w:rPr>
          <w:rFonts w:hint="eastAsia" w:ascii="黑体" w:hAnsi="黑体" w:eastAsia="黑体" w:cs="黑体"/>
          <w:color w:val="auto"/>
          <w:szCs w:val="24"/>
          <w:highlight w:val="none"/>
        </w:rPr>
      </w:pPr>
    </w:p>
    <w:p w14:paraId="45CD6C2C">
      <w:pPr>
        <w:pStyle w:val="36"/>
        <w:spacing w:before="0" w:after="0" w:line="360" w:lineRule="auto"/>
        <w:ind w:right="-6"/>
        <w:jc w:val="center"/>
        <w:rPr>
          <w:rFonts w:hint="eastAsia" w:ascii="宋体" w:hAnsi="宋体"/>
          <w:color w:val="auto"/>
          <w:szCs w:val="24"/>
          <w:highlight w:val="none"/>
        </w:rPr>
      </w:pPr>
      <w:r>
        <w:rPr>
          <w:rFonts w:hint="eastAsia" w:ascii="黑体" w:hAnsi="黑体" w:eastAsia="黑体" w:cs="黑体"/>
          <w:color w:val="auto"/>
          <w:szCs w:val="24"/>
          <w:highlight w:val="none"/>
        </w:rPr>
        <w:t>工程质量保修书</w:t>
      </w:r>
    </w:p>
    <w:p w14:paraId="6672C1FB">
      <w:pPr>
        <w:pStyle w:val="36"/>
        <w:spacing w:before="0" w:after="0" w:line="360" w:lineRule="auto"/>
        <w:ind w:right="-6" w:firstLine="2760" w:firstLineChars="1150"/>
        <w:rPr>
          <w:rFonts w:hint="eastAsia" w:ascii="宋体" w:hAnsi="宋体"/>
          <w:color w:val="auto"/>
          <w:szCs w:val="24"/>
          <w:highlight w:val="none"/>
        </w:rPr>
      </w:pPr>
    </w:p>
    <w:p w14:paraId="498F1138">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项目名称： 浙江巨化化工矿业有限公司后塘弄尾矿库闭库工程  </w:t>
      </w:r>
    </w:p>
    <w:p w14:paraId="72E2C1AB">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建设单位： 浙江巨化化工矿业有限公司  </w:t>
      </w:r>
    </w:p>
    <w:p w14:paraId="2E9E2794">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施工单位： _________________________  </w:t>
      </w:r>
    </w:p>
    <w:p w14:paraId="18CEAF1D">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监理单位： _________________________  </w:t>
      </w:r>
    </w:p>
    <w:p w14:paraId="440676E0">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设计单位： 中钢集团马鞍山矿山研究总院股份有限公司  </w:t>
      </w:r>
    </w:p>
    <w:p w14:paraId="625BB16E">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竣工验收日期： _________________________  </w:t>
      </w:r>
    </w:p>
    <w:p w14:paraId="4DFD31D2">
      <w:pPr>
        <w:pStyle w:val="36"/>
        <w:spacing w:before="0" w:after="0" w:line="360" w:lineRule="auto"/>
        <w:ind w:left="0" w:leftChars="0" w:right="-6" w:firstLine="0" w:firstLineChars="0"/>
        <w:rPr>
          <w:rFonts w:hint="eastAsia" w:ascii="宋体" w:hAnsi="宋体"/>
          <w:color w:val="auto"/>
          <w:szCs w:val="24"/>
          <w:highlight w:val="none"/>
        </w:rPr>
      </w:pPr>
    </w:p>
    <w:p w14:paraId="3C1DCE1E">
      <w:pPr>
        <w:pStyle w:val="36"/>
        <w:spacing w:before="0" w:after="0" w:line="360" w:lineRule="auto"/>
        <w:ind w:right="-6" w:firstLine="2760" w:firstLineChars="1150"/>
        <w:rPr>
          <w:rFonts w:hint="eastAsia" w:ascii="宋体" w:hAnsi="宋体"/>
          <w:color w:val="auto"/>
          <w:szCs w:val="24"/>
          <w:highlight w:val="none"/>
        </w:rPr>
      </w:pPr>
    </w:p>
    <w:p w14:paraId="40DCC79C">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一、工程概况  </w:t>
      </w:r>
    </w:p>
    <w:p w14:paraId="4FA6A9D6">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本工程为尾矿库闭库销号整治工程，主要内容包括：  </w:t>
      </w:r>
    </w:p>
    <w:p w14:paraId="78B2C565">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1. 初期坝加固：压坡体坡比1:2.0，堆石填筑及干砌块石护坡。  </w:t>
      </w:r>
    </w:p>
    <w:p w14:paraId="30BEAE66">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2. 排渗工程：水平排渗孔23个，总长度1560m，滤水管开孔率≥10%。  </w:t>
      </w:r>
    </w:p>
    <w:p w14:paraId="545F3E57">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3. 排洪系统：主排水明沟（1.2m×1.2m）、坝肩排水沟修复及封堵原排水井。  </w:t>
      </w:r>
    </w:p>
    <w:p w14:paraId="3044EFC9">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4. 覆土绿化：覆土厚度≥0.5m，植被覆盖率≥95%。  </w:t>
      </w:r>
    </w:p>
    <w:p w14:paraId="67C6AAB4">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5. 监测设施：位移、浸润线在线监测系统及视频监控。  </w:t>
      </w:r>
    </w:p>
    <w:p w14:paraId="3304B97C">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二、保修范围与期限  </w:t>
      </w:r>
    </w:p>
    <w:p w14:paraId="34E0BD53">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1. 保修范围：  </w:t>
      </w:r>
    </w:p>
    <w:p w14:paraId="55E82C37">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主体工程：初期坝加固、排渗系统、排洪设施、覆土工程。  </w:t>
      </w:r>
    </w:p>
    <w:p w14:paraId="59CE5E3E">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附属设施：监测设备、排水沟、安全护栏、植被养护。  </w:t>
      </w:r>
    </w:p>
    <w:p w14:paraId="2DAA08AB">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质量问题：因施工导致的坝体裂缝、排渗失效、排水沟破损、覆土沉降等。  </w:t>
      </w:r>
    </w:p>
    <w:p w14:paraId="76731E60">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2. 保修期限：  </w:t>
      </w:r>
    </w:p>
    <w:p w14:paraId="334D2241">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主体工程：自竣工验收合格之日起 2年。  </w:t>
      </w:r>
    </w:p>
    <w:p w14:paraId="559981E1">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绿化工程：自竣工验收合格之日起 1年。  </w:t>
      </w:r>
    </w:p>
    <w:p w14:paraId="6AB29674">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监测系统：自竣工验收合格之日起 1年（设备质保期以厂家承诺为准）。  </w:t>
      </w:r>
    </w:p>
    <w:p w14:paraId="6D8E52E4">
      <w:pPr>
        <w:pStyle w:val="36"/>
        <w:spacing w:before="0" w:after="0" w:line="360" w:lineRule="auto"/>
        <w:ind w:right="-6" w:firstLine="2760" w:firstLineChars="1150"/>
        <w:rPr>
          <w:rFonts w:hint="eastAsia" w:ascii="宋体" w:hAnsi="宋体"/>
          <w:color w:val="auto"/>
          <w:szCs w:val="24"/>
          <w:highlight w:val="none"/>
        </w:rPr>
      </w:pPr>
    </w:p>
    <w:p w14:paraId="1C1D718F">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三、保修责任  </w:t>
      </w:r>
    </w:p>
    <w:p w14:paraId="121FB2BB">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1. 施工单位责任：  </w:t>
      </w:r>
    </w:p>
    <w:p w14:paraId="4E903EF5">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在保修期内免费维修因施工质量导致的缺陷，包括材料、工艺等问题。  </w:t>
      </w:r>
    </w:p>
    <w:p w14:paraId="6726C043">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接到通知后 24小时内响应，一般问题 7日内修复，紧急险情 立即处理。  </w:t>
      </w:r>
    </w:p>
    <w:p w14:paraId="559DC526">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保修期满后提供有偿维护服务，费用按成本价计取。  </w:t>
      </w:r>
    </w:p>
    <w:p w14:paraId="67D74D4B">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2. 非保修范围：  </w:t>
      </w:r>
    </w:p>
    <w:p w14:paraId="6AC90F27">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因不可抗力（地震、洪水等）、人为破坏、管理不当导致的损坏。  </w:t>
      </w:r>
    </w:p>
    <w:p w14:paraId="5DE74D06">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超出设计使用要求的荷载或擅自改变工程用途引发的质量问题。  </w:t>
      </w:r>
    </w:p>
    <w:p w14:paraId="79CAE894">
      <w:pPr>
        <w:pStyle w:val="36"/>
        <w:numPr>
          <w:ilvl w:val="0"/>
          <w:numId w:val="5"/>
        </w:numPr>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保修程序  </w:t>
      </w:r>
    </w:p>
    <w:p w14:paraId="24BDBBC7">
      <w:pPr>
        <w:pStyle w:val="36"/>
        <w:numPr>
          <w:ilvl w:val="0"/>
          <w:numId w:val="0"/>
        </w:numPr>
        <w:spacing w:before="0" w:after="0" w:line="360" w:lineRule="auto"/>
        <w:ind w:right="-6" w:rightChars="0"/>
        <w:rPr>
          <w:rFonts w:hint="eastAsia" w:ascii="宋体" w:hAnsi="宋体"/>
          <w:color w:val="auto"/>
          <w:szCs w:val="24"/>
          <w:highlight w:val="none"/>
        </w:rPr>
      </w:pPr>
      <w:r>
        <w:rPr>
          <w:rFonts w:hint="eastAsia" w:ascii="宋体" w:hAnsi="宋体"/>
          <w:color w:val="auto"/>
          <w:szCs w:val="24"/>
          <w:highlight w:val="none"/>
        </w:rPr>
        <w:t xml:space="preserve">1. 问题申报：  </w:t>
      </w:r>
    </w:p>
    <w:p w14:paraId="3E9097BE">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建设单位或管理单位发现质量问题时，书面通知施工单位并抄送监理单位。  </w:t>
      </w:r>
    </w:p>
    <w:p w14:paraId="69F97D43">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通知需包含问题描述、位置、照片等证明材料。  </w:t>
      </w:r>
    </w:p>
    <w:p w14:paraId="03A7B961">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2. 现场核查：  </w:t>
      </w:r>
    </w:p>
    <w:p w14:paraId="48CE6F99">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施工单位应在48小时内派技术人员现场核查，7日内提交维修方案。  </w:t>
      </w:r>
    </w:p>
    <w:p w14:paraId="1819A18E">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3. 维修实施：  </w:t>
      </w:r>
    </w:p>
    <w:p w14:paraId="0EA47667">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施工单位按方案维修，监理单位全程监督，修复后由三方共同验收。  </w:t>
      </w:r>
    </w:p>
    <w:p w14:paraId="6E06B4DB">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五、保修金及违约责任  </w:t>
      </w:r>
    </w:p>
    <w:p w14:paraId="6A5A7968">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1. 保修金留存： </w:t>
      </w:r>
    </w:p>
    <w:p w14:paraId="12BBE405">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 按合同价款的 3% 预留质量保修金，保修期满无质量问题后无息返还。  </w:t>
      </w:r>
    </w:p>
    <w:p w14:paraId="10EE1655">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2. 违约责任：  </w:t>
      </w:r>
    </w:p>
    <w:p w14:paraId="5E29800F">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施工单位未履行保修义务，建设单位有权委托第三方维修，费用从保修金中扣除。  </w:t>
      </w:r>
    </w:p>
    <w:p w14:paraId="7417C116">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 因维修不及时导致安全事故，施工单位承担全部法律责任及赔偿。  </w:t>
      </w:r>
    </w:p>
    <w:p w14:paraId="5EC33B53">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六、争议解决  </w:t>
      </w:r>
    </w:p>
    <w:p w14:paraId="2FAAE6C2">
      <w:pPr>
        <w:pStyle w:val="36"/>
        <w:spacing w:before="0" w:after="0" w:line="360" w:lineRule="auto"/>
        <w:ind w:left="0" w:leftChars="0" w:right="-6" w:firstLine="480" w:firstLineChars="200"/>
        <w:rPr>
          <w:rFonts w:hint="eastAsia" w:ascii="宋体" w:hAnsi="宋体"/>
          <w:color w:val="auto"/>
          <w:szCs w:val="24"/>
          <w:highlight w:val="none"/>
        </w:rPr>
      </w:pPr>
      <w:r>
        <w:rPr>
          <w:rFonts w:hint="eastAsia" w:ascii="宋体" w:hAnsi="宋体"/>
          <w:color w:val="auto"/>
          <w:szCs w:val="24"/>
          <w:highlight w:val="none"/>
        </w:rPr>
        <w:t xml:space="preserve">1. 双方协商解决，协商不成可向 工程所在地人民法院 提起诉讼。  </w:t>
      </w:r>
    </w:p>
    <w:p w14:paraId="150FB6E4">
      <w:pPr>
        <w:pStyle w:val="36"/>
        <w:spacing w:before="0" w:after="0" w:line="360" w:lineRule="auto"/>
        <w:ind w:right="-6" w:firstLine="2760" w:firstLineChars="1150"/>
        <w:rPr>
          <w:rFonts w:hint="eastAsia" w:ascii="宋体" w:hAnsi="宋体"/>
          <w:color w:val="auto"/>
          <w:szCs w:val="24"/>
          <w:highlight w:val="none"/>
        </w:rPr>
      </w:pPr>
    </w:p>
    <w:p w14:paraId="04172A1B">
      <w:pPr>
        <w:pStyle w:val="36"/>
        <w:spacing w:before="0" w:after="0" w:line="360" w:lineRule="auto"/>
        <w:ind w:right="-6" w:firstLine="2760" w:firstLineChars="1150"/>
        <w:rPr>
          <w:rFonts w:hint="eastAsia" w:ascii="宋体" w:hAnsi="宋体"/>
          <w:color w:val="auto"/>
          <w:szCs w:val="24"/>
          <w:highlight w:val="none"/>
        </w:rPr>
      </w:pPr>
    </w:p>
    <w:p w14:paraId="2F8E6018">
      <w:pPr>
        <w:pStyle w:val="36"/>
        <w:spacing w:before="0" w:after="0" w:line="360" w:lineRule="auto"/>
        <w:ind w:right="-6" w:firstLine="2760" w:firstLineChars="1150"/>
        <w:rPr>
          <w:rFonts w:hint="eastAsia" w:ascii="宋体" w:hAnsi="宋体"/>
          <w:color w:val="auto"/>
          <w:szCs w:val="24"/>
          <w:highlight w:val="none"/>
        </w:rPr>
      </w:pPr>
    </w:p>
    <w:p w14:paraId="20A7C414">
      <w:pPr>
        <w:pStyle w:val="36"/>
        <w:spacing w:before="0" w:after="0" w:line="360" w:lineRule="auto"/>
        <w:ind w:right="-6" w:firstLine="2760" w:firstLineChars="1150"/>
        <w:rPr>
          <w:rFonts w:hint="eastAsia" w:ascii="宋体" w:hAnsi="宋体"/>
          <w:color w:val="auto"/>
          <w:szCs w:val="24"/>
          <w:highlight w:val="none"/>
        </w:rPr>
      </w:pPr>
      <w:r>
        <w:rPr>
          <w:rFonts w:hint="eastAsia" w:ascii="宋体" w:hAnsi="宋体"/>
          <w:color w:val="auto"/>
          <w:szCs w:val="24"/>
          <w:highlight w:val="none"/>
        </w:rPr>
        <w:br w:type="textWrapping"/>
      </w:r>
    </w:p>
    <w:p w14:paraId="5800577E">
      <w:pPr>
        <w:pStyle w:val="36"/>
        <w:spacing w:before="0" w:after="0" w:line="360" w:lineRule="auto"/>
        <w:ind w:right="-6" w:firstLine="2760" w:firstLineChars="1150"/>
        <w:rPr>
          <w:rFonts w:hint="eastAsia" w:ascii="宋体" w:hAnsi="宋体"/>
          <w:color w:val="auto"/>
          <w:szCs w:val="24"/>
          <w:highlight w:val="none"/>
        </w:rPr>
      </w:pPr>
      <w:r>
        <w:rPr>
          <w:rFonts w:hint="eastAsia" w:ascii="宋体" w:hAnsi="宋体"/>
          <w:color w:val="auto"/>
          <w:szCs w:val="24"/>
          <w:highlight w:val="none"/>
        </w:rPr>
        <w:t xml:space="preserve">签署页  </w:t>
      </w:r>
    </w:p>
    <w:p w14:paraId="2AAD18EE">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建设单位（盖章）：___________________负责人（签字）：___________________  </w:t>
      </w:r>
    </w:p>
    <w:p w14:paraId="2D500AB1">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施工单位（盖章）：__________________ 负责人（签字）：___________________  </w:t>
      </w:r>
    </w:p>
    <w:p w14:paraId="1267F888">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监理单位（盖章）：___________________负责人（签字）：___________________  </w:t>
      </w:r>
    </w:p>
    <w:p w14:paraId="61B04FF9">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设计单位（盖章）：___________________负责人（签字）：___________________  </w:t>
      </w:r>
    </w:p>
    <w:p w14:paraId="13D899AB">
      <w:pPr>
        <w:pStyle w:val="36"/>
        <w:spacing w:before="0" w:after="0" w:line="360" w:lineRule="auto"/>
        <w:ind w:right="-6" w:firstLine="2760" w:firstLineChars="1150"/>
        <w:rPr>
          <w:rFonts w:hint="eastAsia" w:ascii="宋体" w:hAnsi="宋体"/>
          <w:color w:val="auto"/>
          <w:szCs w:val="24"/>
          <w:highlight w:val="none"/>
        </w:rPr>
      </w:pPr>
    </w:p>
    <w:p w14:paraId="26740F24">
      <w:pPr>
        <w:pStyle w:val="36"/>
        <w:spacing w:before="0" w:after="0" w:line="360" w:lineRule="auto"/>
        <w:ind w:right="-6" w:firstLine="2760" w:firstLineChars="1150"/>
        <w:rPr>
          <w:rFonts w:hint="eastAsia" w:ascii="宋体" w:hAnsi="宋体"/>
          <w:color w:val="auto"/>
          <w:szCs w:val="24"/>
          <w:highlight w:val="none"/>
        </w:rPr>
      </w:pPr>
      <w:r>
        <w:rPr>
          <w:rFonts w:hint="eastAsia" w:ascii="宋体" w:hAnsi="宋体"/>
          <w:color w:val="auto"/>
          <w:szCs w:val="24"/>
          <w:highlight w:val="none"/>
        </w:rPr>
        <w:t xml:space="preserve">日期： 年  月  日  </w:t>
      </w:r>
    </w:p>
    <w:p w14:paraId="2CA7AA48">
      <w:pPr>
        <w:pStyle w:val="36"/>
        <w:spacing w:before="0" w:after="0" w:line="360" w:lineRule="auto"/>
        <w:ind w:right="-6" w:firstLine="2760" w:firstLineChars="1150"/>
        <w:rPr>
          <w:rFonts w:hint="eastAsia" w:ascii="宋体" w:hAnsi="宋体"/>
          <w:color w:val="auto"/>
          <w:szCs w:val="24"/>
          <w:highlight w:val="none"/>
        </w:rPr>
      </w:pPr>
    </w:p>
    <w:p w14:paraId="4E3EDB90">
      <w:pPr>
        <w:pStyle w:val="36"/>
        <w:spacing w:before="0" w:after="0" w:line="360" w:lineRule="auto"/>
        <w:ind w:right="-6" w:firstLine="2760" w:firstLineChars="1150"/>
        <w:rPr>
          <w:rFonts w:hint="eastAsia" w:ascii="宋体" w:hAnsi="宋体"/>
          <w:color w:val="auto"/>
          <w:szCs w:val="24"/>
          <w:highlight w:val="none"/>
        </w:rPr>
      </w:pPr>
      <w:r>
        <w:rPr>
          <w:rFonts w:hint="eastAsia" w:ascii="宋体" w:hAnsi="宋体"/>
          <w:color w:val="auto"/>
          <w:szCs w:val="24"/>
          <w:highlight w:val="none"/>
        </w:rPr>
        <w:t xml:space="preserve">---  </w:t>
      </w:r>
    </w:p>
    <w:p w14:paraId="0C6E6639">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备注：  </w:t>
      </w:r>
    </w:p>
    <w:p w14:paraId="257B9915">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1. 本保修书一式六份，各方留存，具有同等法律效力。  </w:t>
      </w:r>
    </w:p>
    <w:p w14:paraId="06FADF95">
      <w:pPr>
        <w:pStyle w:val="36"/>
        <w:spacing w:before="0" w:after="0" w:line="360" w:lineRule="auto"/>
        <w:ind w:right="-6"/>
        <w:rPr>
          <w:rFonts w:hint="eastAsia" w:ascii="宋体" w:hAnsi="宋体"/>
          <w:color w:val="auto"/>
          <w:szCs w:val="24"/>
          <w:highlight w:val="none"/>
        </w:rPr>
      </w:pPr>
      <w:r>
        <w:rPr>
          <w:rFonts w:hint="eastAsia" w:ascii="宋体" w:hAnsi="宋体"/>
          <w:color w:val="auto"/>
          <w:szCs w:val="24"/>
          <w:highlight w:val="none"/>
        </w:rPr>
        <w:t xml:space="preserve">2. 保修期内工程若转让，本保修书义务由受让方继承。  </w:t>
      </w:r>
    </w:p>
    <w:p w14:paraId="54B49DDE">
      <w:pPr>
        <w:pStyle w:val="36"/>
        <w:spacing w:before="0" w:after="0" w:line="360" w:lineRule="auto"/>
        <w:ind w:right="-6" w:firstLine="2760" w:firstLineChars="1150"/>
        <w:rPr>
          <w:rFonts w:hint="eastAsia" w:ascii="宋体" w:hAnsi="宋体"/>
          <w:color w:val="auto"/>
          <w:szCs w:val="24"/>
          <w:highlight w:val="none"/>
        </w:rPr>
      </w:pPr>
    </w:p>
    <w:p w14:paraId="029DF4E8">
      <w:pPr>
        <w:autoSpaceDE w:val="0"/>
        <w:autoSpaceDN w:val="0"/>
        <w:adjustRightInd w:val="0"/>
        <w:spacing w:line="360" w:lineRule="auto"/>
        <w:jc w:val="left"/>
        <w:rPr>
          <w:rFonts w:ascii="宋体" w:hAnsi="宋体"/>
          <w:color w:val="auto"/>
          <w:kern w:val="0"/>
          <w:sz w:val="24"/>
          <w:szCs w:val="24"/>
          <w:highlight w:val="none"/>
        </w:rPr>
      </w:pPr>
    </w:p>
    <w:p w14:paraId="78187054">
      <w:pPr>
        <w:autoSpaceDE w:val="0"/>
        <w:autoSpaceDN w:val="0"/>
        <w:adjustRightInd w:val="0"/>
        <w:spacing w:line="360" w:lineRule="auto"/>
        <w:jc w:val="left"/>
        <w:rPr>
          <w:rFonts w:ascii="宋体" w:hAnsi="宋体"/>
          <w:color w:val="auto"/>
          <w:kern w:val="0"/>
          <w:sz w:val="24"/>
          <w:szCs w:val="24"/>
          <w:highlight w:val="none"/>
        </w:rPr>
      </w:pPr>
    </w:p>
    <w:p w14:paraId="4D5D6AE5">
      <w:pPr>
        <w:autoSpaceDE w:val="0"/>
        <w:autoSpaceDN w:val="0"/>
        <w:adjustRightInd w:val="0"/>
        <w:spacing w:line="360" w:lineRule="auto"/>
        <w:jc w:val="left"/>
        <w:rPr>
          <w:rFonts w:ascii="宋体" w:hAnsi="宋体"/>
          <w:color w:val="auto"/>
          <w:kern w:val="0"/>
          <w:sz w:val="24"/>
          <w:szCs w:val="24"/>
          <w:highlight w:val="none"/>
        </w:rPr>
      </w:pPr>
    </w:p>
    <w:p w14:paraId="1A979A5B">
      <w:pPr>
        <w:autoSpaceDE w:val="0"/>
        <w:autoSpaceDN w:val="0"/>
        <w:adjustRightInd w:val="0"/>
        <w:spacing w:line="360" w:lineRule="auto"/>
        <w:jc w:val="left"/>
        <w:rPr>
          <w:rFonts w:ascii="宋体" w:hAnsi="宋体"/>
          <w:color w:val="auto"/>
          <w:kern w:val="0"/>
          <w:sz w:val="24"/>
          <w:szCs w:val="24"/>
          <w:highlight w:val="none"/>
        </w:rPr>
      </w:pPr>
    </w:p>
    <w:p w14:paraId="4AACDFAB">
      <w:pPr>
        <w:autoSpaceDE w:val="0"/>
        <w:autoSpaceDN w:val="0"/>
        <w:adjustRightInd w:val="0"/>
        <w:spacing w:line="360" w:lineRule="auto"/>
        <w:jc w:val="left"/>
        <w:rPr>
          <w:rFonts w:ascii="宋体" w:hAnsi="宋体"/>
          <w:color w:val="auto"/>
          <w:kern w:val="0"/>
          <w:sz w:val="24"/>
          <w:szCs w:val="24"/>
          <w:highlight w:val="none"/>
        </w:rPr>
      </w:pPr>
    </w:p>
    <w:p w14:paraId="4E12FAB7">
      <w:pPr>
        <w:autoSpaceDE w:val="0"/>
        <w:autoSpaceDN w:val="0"/>
        <w:adjustRightInd w:val="0"/>
        <w:spacing w:line="360" w:lineRule="auto"/>
        <w:jc w:val="left"/>
        <w:rPr>
          <w:rFonts w:ascii="宋体" w:hAnsi="宋体"/>
          <w:color w:val="auto"/>
          <w:kern w:val="0"/>
          <w:sz w:val="24"/>
          <w:szCs w:val="24"/>
          <w:highlight w:val="none"/>
        </w:rPr>
      </w:pPr>
    </w:p>
    <w:p w14:paraId="109DF58B">
      <w:pPr>
        <w:autoSpaceDE w:val="0"/>
        <w:autoSpaceDN w:val="0"/>
        <w:adjustRightInd w:val="0"/>
        <w:spacing w:line="360" w:lineRule="auto"/>
        <w:jc w:val="left"/>
        <w:rPr>
          <w:rFonts w:ascii="宋体" w:hAnsi="宋体"/>
          <w:color w:val="auto"/>
          <w:kern w:val="0"/>
          <w:sz w:val="24"/>
          <w:szCs w:val="24"/>
          <w:highlight w:val="none"/>
        </w:rPr>
      </w:pPr>
    </w:p>
    <w:p w14:paraId="3E02C0A1">
      <w:pPr>
        <w:autoSpaceDE w:val="0"/>
        <w:autoSpaceDN w:val="0"/>
        <w:adjustRightInd w:val="0"/>
        <w:spacing w:line="360" w:lineRule="auto"/>
        <w:jc w:val="left"/>
        <w:rPr>
          <w:rFonts w:ascii="宋体" w:hAnsi="宋体"/>
          <w:color w:val="auto"/>
          <w:kern w:val="0"/>
          <w:sz w:val="24"/>
          <w:szCs w:val="24"/>
          <w:highlight w:val="none"/>
        </w:rPr>
      </w:pPr>
    </w:p>
    <w:p w14:paraId="05BC3D16">
      <w:pPr>
        <w:autoSpaceDE w:val="0"/>
        <w:autoSpaceDN w:val="0"/>
        <w:adjustRightInd w:val="0"/>
        <w:spacing w:line="360" w:lineRule="auto"/>
        <w:jc w:val="left"/>
        <w:rPr>
          <w:rFonts w:ascii="宋体" w:hAnsi="宋体"/>
          <w:color w:val="auto"/>
          <w:kern w:val="0"/>
          <w:sz w:val="24"/>
          <w:szCs w:val="24"/>
          <w:highlight w:val="none"/>
        </w:rPr>
      </w:pPr>
    </w:p>
    <w:p w14:paraId="006A4BBC">
      <w:pPr>
        <w:autoSpaceDE w:val="0"/>
        <w:autoSpaceDN w:val="0"/>
        <w:adjustRightInd w:val="0"/>
        <w:spacing w:line="360" w:lineRule="auto"/>
        <w:jc w:val="left"/>
        <w:rPr>
          <w:rFonts w:ascii="宋体" w:hAnsi="宋体"/>
          <w:color w:val="auto"/>
          <w:kern w:val="0"/>
          <w:sz w:val="24"/>
          <w:szCs w:val="24"/>
          <w:highlight w:val="none"/>
        </w:rPr>
      </w:pPr>
    </w:p>
    <w:p w14:paraId="63C8E180">
      <w:pPr>
        <w:pStyle w:val="14"/>
        <w:rPr>
          <w:rFonts w:ascii="宋体" w:hAnsi="宋体"/>
          <w:color w:val="auto"/>
          <w:kern w:val="0"/>
          <w:sz w:val="24"/>
          <w:szCs w:val="24"/>
          <w:highlight w:val="none"/>
        </w:rPr>
      </w:pPr>
    </w:p>
    <w:p w14:paraId="45A33BAA">
      <w:pPr>
        <w:pStyle w:val="14"/>
        <w:rPr>
          <w:rFonts w:ascii="宋体" w:hAnsi="宋体"/>
          <w:color w:val="auto"/>
          <w:kern w:val="0"/>
          <w:sz w:val="24"/>
          <w:szCs w:val="24"/>
          <w:highlight w:val="none"/>
        </w:rPr>
      </w:pPr>
    </w:p>
    <w:p w14:paraId="390DD2EF">
      <w:pPr>
        <w:pStyle w:val="14"/>
        <w:rPr>
          <w:rFonts w:ascii="宋体" w:hAnsi="宋体"/>
          <w:color w:val="auto"/>
          <w:kern w:val="0"/>
          <w:sz w:val="24"/>
          <w:szCs w:val="24"/>
          <w:highlight w:val="none"/>
        </w:rPr>
      </w:pPr>
    </w:p>
    <w:p w14:paraId="7A47F523">
      <w:pPr>
        <w:pStyle w:val="14"/>
        <w:rPr>
          <w:rFonts w:ascii="宋体" w:hAnsi="宋体"/>
          <w:color w:val="auto"/>
          <w:kern w:val="0"/>
          <w:sz w:val="24"/>
          <w:szCs w:val="24"/>
          <w:highlight w:val="none"/>
        </w:rPr>
      </w:pPr>
    </w:p>
    <w:p w14:paraId="4E1ED27D">
      <w:pPr>
        <w:pStyle w:val="4"/>
        <w:spacing w:line="360" w:lineRule="auto"/>
        <w:jc w:val="left"/>
        <w:rPr>
          <w:color w:val="auto"/>
          <w:sz w:val="24"/>
          <w:szCs w:val="24"/>
          <w:highlight w:val="none"/>
        </w:rPr>
      </w:pPr>
      <w:bookmarkStart w:id="444" w:name="_Toc72846897"/>
      <w:bookmarkStart w:id="445" w:name="_Toc72846746"/>
      <w:r>
        <w:rPr>
          <w:rFonts w:hint="eastAsia"/>
          <w:color w:val="auto"/>
          <w:sz w:val="24"/>
          <w:szCs w:val="24"/>
          <w:highlight w:val="none"/>
        </w:rPr>
        <w:t>附件</w:t>
      </w:r>
      <w:r>
        <w:rPr>
          <w:color w:val="auto"/>
          <w:sz w:val="24"/>
          <w:szCs w:val="24"/>
          <w:highlight w:val="none"/>
        </w:rPr>
        <w:t>2</w:t>
      </w:r>
      <w:r>
        <w:rPr>
          <w:rFonts w:hint="eastAsia"/>
          <w:color w:val="auto"/>
          <w:sz w:val="24"/>
          <w:szCs w:val="24"/>
          <w:highlight w:val="none"/>
        </w:rPr>
        <w:t>：</w:t>
      </w:r>
      <w:bookmarkEnd w:id="444"/>
      <w:bookmarkEnd w:id="445"/>
    </w:p>
    <w:p w14:paraId="79BD06B4">
      <w:pPr>
        <w:spacing w:line="360" w:lineRule="auto"/>
        <w:jc w:val="center"/>
        <w:rPr>
          <w:rFonts w:ascii="华文中宋" w:hAnsi="华文中宋" w:eastAsia="华文中宋"/>
          <w:color w:val="auto"/>
          <w:sz w:val="24"/>
          <w:szCs w:val="24"/>
          <w:highlight w:val="none"/>
        </w:rPr>
      </w:pPr>
      <w:r>
        <w:rPr>
          <w:rFonts w:hint="eastAsia" w:ascii="华文中宋" w:hAnsi="华文中宋" w:eastAsia="华文中宋"/>
          <w:color w:val="auto"/>
          <w:sz w:val="24"/>
          <w:szCs w:val="24"/>
          <w:highlight w:val="none"/>
        </w:rPr>
        <w:t>廉</w:t>
      </w:r>
      <w:r>
        <w:rPr>
          <w:rFonts w:ascii="华文中宋" w:hAnsi="华文中宋" w:eastAsia="华文中宋"/>
          <w:color w:val="auto"/>
          <w:sz w:val="24"/>
          <w:szCs w:val="24"/>
          <w:highlight w:val="none"/>
        </w:rPr>
        <w:t xml:space="preserve"> </w:t>
      </w:r>
      <w:r>
        <w:rPr>
          <w:rFonts w:hint="eastAsia" w:ascii="华文中宋" w:hAnsi="华文中宋" w:eastAsia="华文中宋"/>
          <w:color w:val="auto"/>
          <w:sz w:val="24"/>
          <w:szCs w:val="24"/>
          <w:highlight w:val="none"/>
        </w:rPr>
        <w:t>政</w:t>
      </w:r>
      <w:r>
        <w:rPr>
          <w:rFonts w:ascii="华文中宋" w:hAnsi="华文中宋" w:eastAsia="华文中宋"/>
          <w:color w:val="auto"/>
          <w:sz w:val="24"/>
          <w:szCs w:val="24"/>
          <w:highlight w:val="none"/>
        </w:rPr>
        <w:t xml:space="preserve"> </w:t>
      </w:r>
      <w:r>
        <w:rPr>
          <w:rFonts w:hint="eastAsia" w:ascii="华文中宋" w:hAnsi="华文中宋" w:eastAsia="华文中宋"/>
          <w:color w:val="auto"/>
          <w:sz w:val="24"/>
          <w:szCs w:val="24"/>
          <w:highlight w:val="none"/>
        </w:rPr>
        <w:t>合</w:t>
      </w:r>
      <w:r>
        <w:rPr>
          <w:rFonts w:ascii="华文中宋" w:hAnsi="华文中宋" w:eastAsia="华文中宋"/>
          <w:color w:val="auto"/>
          <w:sz w:val="24"/>
          <w:szCs w:val="24"/>
          <w:highlight w:val="none"/>
        </w:rPr>
        <w:t xml:space="preserve"> </w:t>
      </w:r>
      <w:r>
        <w:rPr>
          <w:rFonts w:hint="eastAsia" w:ascii="华文中宋" w:hAnsi="华文中宋" w:eastAsia="华文中宋"/>
          <w:color w:val="auto"/>
          <w:sz w:val="24"/>
          <w:szCs w:val="24"/>
          <w:highlight w:val="none"/>
        </w:rPr>
        <w:t>同</w:t>
      </w:r>
    </w:p>
    <w:p w14:paraId="6C59105F">
      <w:pPr>
        <w:autoSpaceDE w:val="0"/>
        <w:autoSpaceDN w:val="0"/>
        <w:adjustRightInd w:val="0"/>
        <w:spacing w:line="360" w:lineRule="auto"/>
        <w:jc w:val="left"/>
        <w:rPr>
          <w:rFonts w:ascii="宋体" w:hAnsi="宋体"/>
          <w:b/>
          <w:color w:val="auto"/>
          <w:kern w:val="0"/>
          <w:sz w:val="24"/>
          <w:szCs w:val="24"/>
          <w:highlight w:val="none"/>
        </w:rPr>
      </w:pPr>
      <w:r>
        <w:rPr>
          <w:rFonts w:hint="eastAsia" w:ascii="宋体" w:hAnsi="宋体"/>
          <w:b/>
          <w:color w:val="auto"/>
          <w:kern w:val="0"/>
          <w:sz w:val="24"/>
          <w:szCs w:val="24"/>
          <w:highlight w:val="none"/>
        </w:rPr>
        <w:t>甲方：</w:t>
      </w:r>
      <w:r>
        <w:rPr>
          <w:rFonts w:hint="eastAsia" w:ascii="宋体" w:hAnsi="宋体"/>
          <w:b/>
          <w:color w:val="auto"/>
          <w:kern w:val="0"/>
          <w:sz w:val="24"/>
          <w:szCs w:val="24"/>
          <w:highlight w:val="none"/>
          <w:u w:val="single"/>
          <w:lang w:eastAsia="zh-CN"/>
        </w:rPr>
        <w:t>浙江巨化化工矿业有限公司</w:t>
      </w:r>
      <w:r>
        <w:rPr>
          <w:rFonts w:hint="eastAsia" w:ascii="宋体" w:hAnsi="宋体"/>
          <w:b/>
          <w:color w:val="auto"/>
          <w:kern w:val="0"/>
          <w:sz w:val="24"/>
          <w:szCs w:val="24"/>
          <w:highlight w:val="none"/>
          <w:u w:val="single"/>
        </w:rPr>
        <w:t xml:space="preserve"> </w:t>
      </w:r>
    </w:p>
    <w:p w14:paraId="57FFAA3E">
      <w:pPr>
        <w:autoSpaceDE w:val="0"/>
        <w:autoSpaceDN w:val="0"/>
        <w:adjustRightInd w:val="0"/>
        <w:snapToGrid w:val="0"/>
        <w:spacing w:line="360" w:lineRule="auto"/>
        <w:ind w:right="-334" w:rightChars="-159"/>
        <w:jc w:val="left"/>
        <w:rPr>
          <w:rFonts w:ascii="宋体" w:hAnsi="宋体"/>
          <w:color w:val="auto"/>
          <w:kern w:val="0"/>
          <w:sz w:val="24"/>
          <w:szCs w:val="24"/>
          <w:highlight w:val="none"/>
          <w:u w:val="single"/>
        </w:rPr>
      </w:pPr>
      <w:r>
        <w:rPr>
          <w:rFonts w:hint="eastAsia" w:ascii="宋体" w:hAnsi="宋体"/>
          <w:b/>
          <w:color w:val="auto"/>
          <w:kern w:val="0"/>
          <w:sz w:val="24"/>
          <w:szCs w:val="24"/>
          <w:highlight w:val="none"/>
        </w:rPr>
        <w:t>乙方：</w:t>
      </w:r>
      <w:r>
        <w:rPr>
          <w:rFonts w:hint="eastAsia" w:ascii="宋体" w:hAnsi="宋体"/>
          <w:b/>
          <w:color w:val="auto"/>
          <w:kern w:val="0"/>
          <w:sz w:val="24"/>
          <w:szCs w:val="24"/>
          <w:highlight w:val="none"/>
          <w:u w:val="single"/>
        </w:rPr>
        <w:t xml:space="preserve">                    </w:t>
      </w:r>
    </w:p>
    <w:p w14:paraId="11699A78">
      <w:pPr>
        <w:spacing w:line="360" w:lineRule="auto"/>
        <w:ind w:firstLine="480" w:firstLineChars="200"/>
        <w:rPr>
          <w:rFonts w:ascii="宋体" w:hAnsi="宋体"/>
          <w:color w:val="auto"/>
          <w:spacing w:val="13"/>
          <w:sz w:val="24"/>
          <w:szCs w:val="24"/>
          <w:highlight w:val="none"/>
        </w:rPr>
      </w:pPr>
      <w:r>
        <w:rPr>
          <w:rFonts w:hint="eastAsia" w:ascii="宋体" w:hAnsi="宋体"/>
          <w:color w:val="auto"/>
          <w:sz w:val="24"/>
          <w:szCs w:val="24"/>
          <w:highlight w:val="none"/>
        </w:rPr>
        <w:t>为促进甲乙双方廉洁高效合作，促使双方工作人员廉洁从业，按照《中华人民共和国合同法》、《中华人民共和国反不正当竞争法》、《关于禁止商业贿赂行为的暂行规定》和国家其他有关法律法规、廉政规定，经双方协商一致，自愿签订以下廉政合同。</w:t>
      </w:r>
    </w:p>
    <w:p w14:paraId="2D61E47E">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第一条：</w:t>
      </w:r>
      <w:r>
        <w:rPr>
          <w:rFonts w:ascii="宋体" w:hAnsi="宋体"/>
          <w:b/>
          <w:color w:val="auto"/>
          <w:sz w:val="24"/>
          <w:szCs w:val="24"/>
          <w:highlight w:val="none"/>
        </w:rPr>
        <w:t xml:space="preserve"> </w:t>
      </w:r>
      <w:r>
        <w:rPr>
          <w:rFonts w:hint="eastAsia" w:ascii="宋体" w:hAnsi="宋体"/>
          <w:b/>
          <w:color w:val="auto"/>
          <w:sz w:val="24"/>
          <w:szCs w:val="24"/>
          <w:highlight w:val="none"/>
        </w:rPr>
        <w:t>甲方在廉政方面的义务</w:t>
      </w:r>
    </w:p>
    <w:p w14:paraId="393306D8">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w:t>
      </w:r>
      <w:r>
        <w:rPr>
          <w:rFonts w:ascii="宋体" w:hAnsi="宋体"/>
          <w:color w:val="auto"/>
          <w:sz w:val="24"/>
          <w:szCs w:val="24"/>
          <w:highlight w:val="none"/>
        </w:rPr>
        <w:t>.</w:t>
      </w:r>
      <w:r>
        <w:rPr>
          <w:rFonts w:hint="eastAsia" w:ascii="宋体" w:hAnsi="宋体"/>
          <w:color w:val="auto"/>
          <w:sz w:val="24"/>
          <w:szCs w:val="24"/>
          <w:highlight w:val="none"/>
        </w:rPr>
        <w:t>不得索要或接受乙方的礼金、有价证券、支付凭证、实物等；</w:t>
      </w:r>
    </w:p>
    <w:p w14:paraId="03DD5024">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w:t>
      </w:r>
      <w:r>
        <w:rPr>
          <w:rFonts w:ascii="宋体" w:hAnsi="宋体"/>
          <w:color w:val="auto"/>
          <w:sz w:val="24"/>
          <w:szCs w:val="24"/>
          <w:highlight w:val="none"/>
        </w:rPr>
        <w:t>.</w:t>
      </w:r>
      <w:r>
        <w:rPr>
          <w:rFonts w:hint="eastAsia" w:ascii="宋体" w:hAnsi="宋体"/>
          <w:color w:val="auto"/>
          <w:sz w:val="24"/>
          <w:szCs w:val="24"/>
          <w:highlight w:val="none"/>
        </w:rPr>
        <w:t>不得在乙方报销应由甲方或个人支付的任何费用；</w:t>
      </w:r>
    </w:p>
    <w:p w14:paraId="5E90C421">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w:t>
      </w:r>
      <w:r>
        <w:rPr>
          <w:rFonts w:ascii="宋体" w:hAnsi="宋体"/>
          <w:color w:val="auto"/>
          <w:sz w:val="24"/>
          <w:szCs w:val="24"/>
          <w:highlight w:val="none"/>
        </w:rPr>
        <w:t>.</w:t>
      </w:r>
      <w:r>
        <w:rPr>
          <w:rFonts w:hint="eastAsia" w:ascii="宋体" w:hAnsi="宋体"/>
          <w:color w:val="auto"/>
          <w:sz w:val="24"/>
          <w:szCs w:val="24"/>
          <w:highlight w:val="none"/>
        </w:rPr>
        <w:t>不得接受乙方超标准宴请；</w:t>
      </w:r>
    </w:p>
    <w:p w14:paraId="3C53379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4</w:t>
      </w:r>
      <w:r>
        <w:rPr>
          <w:rFonts w:ascii="宋体" w:hAnsi="宋体"/>
          <w:color w:val="auto"/>
          <w:sz w:val="24"/>
          <w:szCs w:val="24"/>
          <w:highlight w:val="none"/>
        </w:rPr>
        <w:t>.</w:t>
      </w:r>
      <w:r>
        <w:rPr>
          <w:rFonts w:hint="eastAsia" w:ascii="宋体" w:hAnsi="宋体"/>
          <w:color w:val="auto"/>
          <w:sz w:val="24"/>
          <w:szCs w:val="24"/>
          <w:highlight w:val="none"/>
        </w:rPr>
        <w:t>不得接受乙方超过经济合同约定以外支付的任何款项；</w:t>
      </w:r>
    </w:p>
    <w:p w14:paraId="3689C91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5</w:t>
      </w:r>
      <w:r>
        <w:rPr>
          <w:rFonts w:ascii="宋体" w:hAnsi="宋体"/>
          <w:color w:val="auto"/>
          <w:sz w:val="24"/>
          <w:szCs w:val="24"/>
          <w:highlight w:val="none"/>
        </w:rPr>
        <w:t>.</w:t>
      </w:r>
      <w:r>
        <w:rPr>
          <w:rFonts w:hint="eastAsia" w:ascii="宋体" w:hAnsi="宋体"/>
          <w:color w:val="auto"/>
          <w:sz w:val="24"/>
          <w:szCs w:val="24"/>
          <w:highlight w:val="none"/>
        </w:rPr>
        <w:t>不得向乙方指定供应商和工程承包单位；</w:t>
      </w:r>
    </w:p>
    <w:p w14:paraId="10C65C0A">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第二条：乙方在廉政方面的义务</w:t>
      </w:r>
    </w:p>
    <w:p w14:paraId="782EF6D3">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乙方不得违反规定发生甲方廉政义务方面的禁止事项。</w:t>
      </w:r>
    </w:p>
    <w:p w14:paraId="2A0C996E">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第三条：违约责任</w:t>
      </w:r>
    </w:p>
    <w:p w14:paraId="4C98A85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w:t>
      </w:r>
      <w:r>
        <w:rPr>
          <w:rFonts w:ascii="宋体" w:hAnsi="宋体"/>
          <w:color w:val="auto"/>
          <w:sz w:val="24"/>
          <w:szCs w:val="24"/>
          <w:highlight w:val="none"/>
        </w:rPr>
        <w:t>.</w:t>
      </w:r>
      <w:r>
        <w:rPr>
          <w:rFonts w:hint="eastAsia" w:ascii="宋体" w:hAnsi="宋体"/>
          <w:color w:val="auto"/>
          <w:sz w:val="24"/>
          <w:szCs w:val="24"/>
          <w:highlight w:val="none"/>
        </w:rPr>
        <w:t>乙方发生违反本《廉政合同》约定义务内容的，甲方将乙方列入不合格供应商名单，终身不得与甲方合作，同时甲方终止与乙方尚未履行完毕的经济合同。</w:t>
      </w:r>
    </w:p>
    <w:p w14:paraId="4057022E">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w:t>
      </w:r>
      <w:r>
        <w:rPr>
          <w:rFonts w:ascii="宋体" w:hAnsi="宋体"/>
          <w:color w:val="auto"/>
          <w:sz w:val="24"/>
          <w:szCs w:val="24"/>
          <w:highlight w:val="none"/>
        </w:rPr>
        <w:t>.</w:t>
      </w:r>
      <w:r>
        <w:rPr>
          <w:rFonts w:hint="eastAsia" w:ascii="宋体" w:hAnsi="宋体"/>
          <w:color w:val="auto"/>
          <w:sz w:val="24"/>
          <w:szCs w:val="24"/>
          <w:highlight w:val="none"/>
        </w:rPr>
        <w:t>甲方若违反本《廉政合同》的有关规定，对涉及人员，由甲方监督主管部门依据有关规定查处。</w:t>
      </w:r>
    </w:p>
    <w:p w14:paraId="0F5C7B79">
      <w:pPr>
        <w:autoSpaceDE w:val="0"/>
        <w:autoSpaceDN w:val="0"/>
        <w:adjustRightInd w:val="0"/>
        <w:spacing w:line="360" w:lineRule="auto"/>
        <w:ind w:firstLine="480" w:firstLineChars="200"/>
        <w:jc w:val="left"/>
        <w:rPr>
          <w:rFonts w:ascii="宋体" w:hAnsi="宋体"/>
          <w:color w:val="auto"/>
          <w:kern w:val="0"/>
          <w:sz w:val="24"/>
          <w:szCs w:val="24"/>
          <w:highlight w:val="none"/>
        </w:rPr>
      </w:pPr>
      <w:r>
        <w:rPr>
          <w:rFonts w:hint="eastAsia" w:ascii="宋体" w:hAnsi="宋体"/>
          <w:color w:val="auto"/>
          <w:sz w:val="24"/>
          <w:szCs w:val="24"/>
          <w:highlight w:val="none"/>
        </w:rPr>
        <w:t>第四条：</w:t>
      </w:r>
      <w:r>
        <w:rPr>
          <w:rFonts w:hint="eastAsia" w:ascii="宋体" w:hAnsi="宋体"/>
          <w:color w:val="auto"/>
          <w:kern w:val="0"/>
          <w:sz w:val="24"/>
          <w:szCs w:val="24"/>
          <w:highlight w:val="none"/>
        </w:rPr>
        <w:t>本合同一式十二份，甲方七份，乙方五份，</w:t>
      </w:r>
      <w:r>
        <w:rPr>
          <w:rFonts w:hint="eastAsia" w:ascii="宋体" w:hAnsi="宋体"/>
          <w:color w:val="auto"/>
          <w:sz w:val="24"/>
          <w:szCs w:val="24"/>
          <w:highlight w:val="none"/>
        </w:rPr>
        <w:t>具有同等法律效力，自双方法定代表人或授权委托代理人签字并加盖单位公章或合同专用章后生效，交由甲乙双方监督主管部门各一份。</w:t>
      </w:r>
    </w:p>
    <w:p w14:paraId="6B7C1D6B">
      <w:pPr>
        <w:spacing w:line="360" w:lineRule="auto"/>
        <w:rPr>
          <w:rFonts w:ascii="宋体" w:hAnsi="宋体"/>
          <w:color w:val="auto"/>
          <w:sz w:val="24"/>
          <w:szCs w:val="24"/>
          <w:highlight w:val="none"/>
        </w:rPr>
      </w:pPr>
    </w:p>
    <w:p w14:paraId="143FC5AE">
      <w:pPr>
        <w:spacing w:line="360" w:lineRule="auto"/>
        <w:ind w:left="4586" w:hanging="4586" w:hangingChars="1911"/>
        <w:rPr>
          <w:rFonts w:ascii="宋体" w:hAnsi="宋体"/>
          <w:color w:val="auto"/>
          <w:sz w:val="24"/>
          <w:szCs w:val="24"/>
          <w:highlight w:val="none"/>
        </w:rPr>
      </w:pPr>
      <w:r>
        <w:rPr>
          <w:rFonts w:hint="eastAsia" w:ascii="宋体" w:hAnsi="宋体"/>
          <w:color w:val="auto"/>
          <w:sz w:val="24"/>
          <w:szCs w:val="24"/>
          <w:highlight w:val="none"/>
        </w:rPr>
        <w:t>甲方单位：（盖章）</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乙方单位：（盖章）</w:t>
      </w:r>
      <w:r>
        <w:rPr>
          <w:rFonts w:ascii="宋体" w:hAnsi="宋体"/>
          <w:color w:val="auto"/>
          <w:sz w:val="24"/>
          <w:szCs w:val="24"/>
          <w:highlight w:val="none"/>
        </w:rPr>
        <w:t xml:space="preserve"> </w:t>
      </w:r>
    </w:p>
    <w:p w14:paraId="41BB41A3">
      <w:pPr>
        <w:spacing w:line="360" w:lineRule="auto"/>
        <w:rPr>
          <w:rFonts w:ascii="宋体" w:hAnsi="宋体"/>
          <w:color w:val="auto"/>
          <w:sz w:val="24"/>
          <w:szCs w:val="24"/>
          <w:highlight w:val="none"/>
        </w:rPr>
      </w:pPr>
      <w:r>
        <w:rPr>
          <w:rFonts w:hint="eastAsia" w:ascii="宋体" w:hAnsi="宋体"/>
          <w:color w:val="auto"/>
          <w:sz w:val="24"/>
          <w:szCs w:val="24"/>
          <w:highlight w:val="none"/>
        </w:rPr>
        <w:t>法定代表人</w:t>
      </w:r>
      <w:r>
        <w:rPr>
          <w:rFonts w:ascii="宋体" w:hAnsi="宋体"/>
          <w:color w:val="auto"/>
          <w:sz w:val="24"/>
          <w:szCs w:val="24"/>
          <w:highlight w:val="none"/>
        </w:rPr>
        <w:t>/</w:t>
      </w:r>
      <w:r>
        <w:rPr>
          <w:rFonts w:hint="eastAsia" w:ascii="宋体" w:hAnsi="宋体"/>
          <w:color w:val="auto"/>
          <w:sz w:val="24"/>
          <w:szCs w:val="24"/>
          <w:highlight w:val="none"/>
        </w:rPr>
        <w:t>授权代理人：</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法定代表人</w:t>
      </w:r>
      <w:r>
        <w:rPr>
          <w:rFonts w:ascii="宋体" w:hAnsi="宋体"/>
          <w:color w:val="auto"/>
          <w:sz w:val="24"/>
          <w:szCs w:val="24"/>
          <w:highlight w:val="none"/>
        </w:rPr>
        <w:t>/</w:t>
      </w:r>
      <w:r>
        <w:rPr>
          <w:rFonts w:hint="eastAsia" w:ascii="宋体" w:hAnsi="宋体"/>
          <w:color w:val="auto"/>
          <w:sz w:val="24"/>
          <w:szCs w:val="24"/>
          <w:highlight w:val="none"/>
        </w:rPr>
        <w:t>授权代理人：</w:t>
      </w:r>
      <w:r>
        <w:rPr>
          <w:rFonts w:ascii="宋体" w:hAnsi="宋体"/>
          <w:color w:val="auto"/>
          <w:sz w:val="24"/>
          <w:szCs w:val="24"/>
          <w:highlight w:val="none"/>
        </w:rPr>
        <w:t xml:space="preserve">                           </w:t>
      </w:r>
    </w:p>
    <w:p w14:paraId="15D41CC8">
      <w:pPr>
        <w:spacing w:line="360" w:lineRule="auto"/>
        <w:rPr>
          <w:rFonts w:ascii="宋体" w:hAnsi="宋体"/>
          <w:color w:val="auto"/>
          <w:sz w:val="24"/>
          <w:szCs w:val="24"/>
          <w:highlight w:val="none"/>
        </w:rPr>
      </w:pPr>
      <w:r>
        <w:rPr>
          <w:rFonts w:hint="eastAsia" w:ascii="宋体" w:hAnsi="宋体"/>
          <w:color w:val="auto"/>
          <w:sz w:val="24"/>
          <w:szCs w:val="24"/>
          <w:highlight w:val="none"/>
        </w:rPr>
        <w:t>单位地址：                                单位地址：</w:t>
      </w:r>
    </w:p>
    <w:p w14:paraId="706D69C7">
      <w:pPr>
        <w:spacing w:line="360" w:lineRule="auto"/>
        <w:rPr>
          <w:rFonts w:ascii="宋体" w:hAnsi="宋体"/>
          <w:color w:val="auto"/>
          <w:sz w:val="24"/>
          <w:szCs w:val="24"/>
          <w:highlight w:val="none"/>
        </w:rPr>
      </w:pPr>
      <w:r>
        <w:rPr>
          <w:rFonts w:hint="eastAsia" w:ascii="宋体" w:hAnsi="宋体"/>
          <w:color w:val="auto"/>
          <w:sz w:val="24"/>
          <w:szCs w:val="24"/>
          <w:highlight w:val="none"/>
        </w:rPr>
        <w:t>联系电话：</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联系电话：</w:t>
      </w:r>
      <w:r>
        <w:rPr>
          <w:rFonts w:ascii="宋体" w:hAnsi="宋体"/>
          <w:color w:val="auto"/>
          <w:sz w:val="24"/>
          <w:szCs w:val="24"/>
          <w:highlight w:val="none"/>
        </w:rPr>
        <w:t xml:space="preserve">  </w:t>
      </w:r>
    </w:p>
    <w:p w14:paraId="231526CE">
      <w:pPr>
        <w:spacing w:line="360" w:lineRule="auto"/>
        <w:rPr>
          <w:rFonts w:ascii="宋体" w:hAnsi="宋体"/>
          <w:color w:val="auto"/>
          <w:sz w:val="24"/>
          <w:szCs w:val="24"/>
          <w:highlight w:val="none"/>
        </w:rPr>
      </w:pPr>
      <w:r>
        <w:rPr>
          <w:rFonts w:hint="eastAsia" w:ascii="宋体" w:hAnsi="宋体"/>
          <w:color w:val="auto"/>
          <w:sz w:val="24"/>
          <w:szCs w:val="24"/>
          <w:highlight w:val="none"/>
        </w:rPr>
        <w:t>甲方监督部门电话：                         乙方监督部门电话：</w:t>
      </w:r>
    </w:p>
    <w:p w14:paraId="4E554C4E">
      <w:pPr>
        <w:spacing w:line="360" w:lineRule="auto"/>
        <w:ind w:firstLine="4800" w:firstLineChars="2000"/>
        <w:rPr>
          <w:rFonts w:ascii="宋体" w:hAnsi="宋体"/>
          <w:color w:val="auto"/>
          <w:sz w:val="24"/>
          <w:szCs w:val="24"/>
          <w:highlight w:val="none"/>
        </w:rPr>
      </w:pPr>
    </w:p>
    <w:p w14:paraId="62D19502">
      <w:pPr>
        <w:spacing w:line="360" w:lineRule="auto"/>
        <w:ind w:firstLine="4800" w:firstLineChars="2000"/>
        <w:rPr>
          <w:rFonts w:ascii="宋体" w:hAnsi="宋体"/>
          <w:color w:val="auto"/>
          <w:kern w:val="0"/>
          <w:sz w:val="24"/>
          <w:szCs w:val="24"/>
          <w:highlight w:val="none"/>
        </w:rPr>
      </w:pPr>
      <w:r>
        <w:rPr>
          <w:rFonts w:hint="eastAsia" w:ascii="宋体" w:hAnsi="宋体"/>
          <w:color w:val="auto"/>
          <w:kern w:val="0"/>
          <w:sz w:val="24"/>
          <w:szCs w:val="24"/>
          <w:highlight w:val="none"/>
        </w:rPr>
        <w:t>签订日期：</w:t>
      </w:r>
      <w:r>
        <w:rPr>
          <w:rFonts w:ascii="宋体" w:hAnsi="宋体"/>
          <w:color w:val="auto"/>
          <w:kern w:val="0"/>
          <w:sz w:val="24"/>
          <w:szCs w:val="24"/>
          <w:highlight w:val="none"/>
          <w:u w:val="single"/>
        </w:rPr>
        <w:t>202</w:t>
      </w:r>
      <w:r>
        <w:rPr>
          <w:rFonts w:hint="eastAsia" w:ascii="宋体" w:hAnsi="宋体"/>
          <w:color w:val="auto"/>
          <w:kern w:val="0"/>
          <w:sz w:val="24"/>
          <w:szCs w:val="24"/>
          <w:highlight w:val="none"/>
          <w:u w:val="single"/>
        </w:rPr>
        <w:t>4</w:t>
      </w:r>
      <w:r>
        <w:rPr>
          <w:rFonts w:hint="eastAsia" w:ascii="宋体" w:hAnsi="宋体"/>
          <w:color w:val="auto"/>
          <w:kern w:val="0"/>
          <w:sz w:val="24"/>
          <w:szCs w:val="24"/>
          <w:highlight w:val="none"/>
        </w:rPr>
        <w:t>年</w:t>
      </w:r>
      <w:r>
        <w:rPr>
          <w:rFonts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月</w:t>
      </w:r>
      <w:r>
        <w:rPr>
          <w:rFonts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日</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 xml:space="preserve">              </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 xml:space="preserve">     </w:t>
      </w:r>
    </w:p>
    <w:p w14:paraId="5255E120">
      <w:pPr>
        <w:spacing w:line="360" w:lineRule="auto"/>
        <w:ind w:firstLine="4800" w:firstLineChars="2000"/>
        <w:rPr>
          <w:rFonts w:ascii="宋体" w:hAnsi="宋体" w:cs="宋体"/>
          <w:color w:val="auto"/>
          <w:sz w:val="24"/>
          <w:szCs w:val="24"/>
          <w:highlight w:val="none"/>
        </w:rPr>
      </w:pPr>
      <w:r>
        <w:rPr>
          <w:rFonts w:hint="eastAsia" w:ascii="宋体" w:hAnsi="宋体"/>
          <w:color w:val="auto"/>
          <w:kern w:val="0"/>
          <w:sz w:val="24"/>
          <w:szCs w:val="24"/>
          <w:highlight w:val="none"/>
        </w:rPr>
        <w:t>签订地点：</w:t>
      </w:r>
    </w:p>
    <w:p w14:paraId="59557830">
      <w:pPr>
        <w:spacing w:line="360" w:lineRule="auto"/>
        <w:rPr>
          <w:rFonts w:ascii="宋体" w:hAnsi="宋体" w:cs="宋体"/>
          <w:color w:val="auto"/>
          <w:sz w:val="24"/>
          <w:szCs w:val="24"/>
          <w:highlight w:val="none"/>
        </w:rPr>
      </w:pPr>
    </w:p>
    <w:p w14:paraId="000F507E">
      <w:pPr>
        <w:pStyle w:val="20"/>
        <w:ind w:firstLine="528"/>
        <w:rPr>
          <w:rFonts w:ascii="宋体" w:hAnsi="宋体" w:cs="宋体"/>
          <w:color w:val="auto"/>
          <w:sz w:val="24"/>
          <w:szCs w:val="24"/>
          <w:highlight w:val="none"/>
        </w:rPr>
      </w:pPr>
    </w:p>
    <w:p w14:paraId="507B43D9">
      <w:pPr>
        <w:pStyle w:val="11"/>
        <w:ind w:firstLine="240"/>
        <w:rPr>
          <w:rFonts w:ascii="宋体" w:hAnsi="宋体" w:cs="宋体"/>
          <w:color w:val="auto"/>
          <w:sz w:val="24"/>
          <w:highlight w:val="none"/>
        </w:rPr>
      </w:pPr>
    </w:p>
    <w:p w14:paraId="1DC5B2DA">
      <w:pPr>
        <w:rPr>
          <w:rFonts w:ascii="宋体" w:hAnsi="宋体" w:cs="宋体"/>
          <w:color w:val="auto"/>
          <w:sz w:val="24"/>
          <w:szCs w:val="24"/>
          <w:highlight w:val="none"/>
        </w:rPr>
      </w:pPr>
    </w:p>
    <w:p w14:paraId="27E2D213">
      <w:pPr>
        <w:pStyle w:val="20"/>
        <w:ind w:firstLine="528"/>
        <w:rPr>
          <w:rFonts w:ascii="宋体" w:hAnsi="宋体" w:cs="宋体"/>
          <w:color w:val="auto"/>
          <w:sz w:val="24"/>
          <w:szCs w:val="24"/>
          <w:highlight w:val="none"/>
        </w:rPr>
      </w:pPr>
    </w:p>
    <w:p w14:paraId="4C8FD6A0">
      <w:pPr>
        <w:pStyle w:val="11"/>
        <w:ind w:firstLine="240"/>
        <w:rPr>
          <w:rFonts w:ascii="宋体" w:hAnsi="宋体" w:cs="宋体"/>
          <w:color w:val="auto"/>
          <w:sz w:val="24"/>
          <w:highlight w:val="none"/>
        </w:rPr>
      </w:pPr>
    </w:p>
    <w:p w14:paraId="58F339B9">
      <w:pPr>
        <w:rPr>
          <w:rFonts w:ascii="宋体" w:hAnsi="宋体" w:cs="宋体"/>
          <w:color w:val="auto"/>
          <w:sz w:val="24"/>
          <w:szCs w:val="24"/>
          <w:highlight w:val="none"/>
        </w:rPr>
      </w:pPr>
    </w:p>
    <w:p w14:paraId="4E88338A">
      <w:pPr>
        <w:pStyle w:val="20"/>
        <w:ind w:firstLine="528"/>
        <w:rPr>
          <w:rFonts w:ascii="宋体" w:hAnsi="宋体" w:cs="宋体"/>
          <w:color w:val="auto"/>
          <w:sz w:val="24"/>
          <w:szCs w:val="24"/>
          <w:highlight w:val="none"/>
        </w:rPr>
      </w:pPr>
    </w:p>
    <w:p w14:paraId="2304CD97">
      <w:pPr>
        <w:pStyle w:val="11"/>
        <w:ind w:firstLine="240"/>
        <w:rPr>
          <w:rFonts w:ascii="宋体" w:hAnsi="宋体" w:cs="宋体"/>
          <w:color w:val="auto"/>
          <w:sz w:val="24"/>
          <w:highlight w:val="none"/>
        </w:rPr>
      </w:pPr>
    </w:p>
    <w:p w14:paraId="79C26277">
      <w:pPr>
        <w:rPr>
          <w:rFonts w:ascii="宋体" w:hAnsi="宋体" w:cs="宋体"/>
          <w:color w:val="auto"/>
          <w:sz w:val="24"/>
          <w:szCs w:val="24"/>
          <w:highlight w:val="none"/>
        </w:rPr>
      </w:pPr>
    </w:p>
    <w:p w14:paraId="3571702B">
      <w:pPr>
        <w:pStyle w:val="20"/>
        <w:ind w:firstLine="528"/>
        <w:rPr>
          <w:rFonts w:ascii="宋体" w:hAnsi="宋体" w:cs="宋体"/>
          <w:color w:val="auto"/>
          <w:sz w:val="24"/>
          <w:szCs w:val="24"/>
          <w:highlight w:val="none"/>
        </w:rPr>
      </w:pPr>
    </w:p>
    <w:p w14:paraId="2E7B2A0D">
      <w:pPr>
        <w:spacing w:line="360" w:lineRule="auto"/>
        <w:jc w:val="left"/>
        <w:rPr>
          <w:rFonts w:hint="eastAsia"/>
          <w:color w:val="auto"/>
          <w:sz w:val="24"/>
          <w:szCs w:val="24"/>
          <w:highlight w:val="none"/>
        </w:rPr>
      </w:pPr>
      <w:bookmarkStart w:id="446" w:name="_Toc72846898"/>
      <w:bookmarkStart w:id="447" w:name="_Toc72846747"/>
      <w:r>
        <w:rPr>
          <w:rFonts w:hint="eastAsia"/>
          <w:color w:val="auto"/>
          <w:sz w:val="24"/>
          <w:szCs w:val="24"/>
          <w:highlight w:val="none"/>
        </w:rPr>
        <w:br w:type="page"/>
      </w:r>
    </w:p>
    <w:p w14:paraId="6008D5C5">
      <w:pPr>
        <w:pStyle w:val="4"/>
        <w:spacing w:line="360" w:lineRule="auto"/>
        <w:jc w:val="left"/>
        <w:rPr>
          <w:color w:val="auto"/>
          <w:sz w:val="24"/>
          <w:szCs w:val="24"/>
          <w:highlight w:val="none"/>
        </w:rPr>
      </w:pPr>
      <w:r>
        <w:rPr>
          <w:rFonts w:hint="eastAsia"/>
          <w:color w:val="auto"/>
          <w:sz w:val="24"/>
          <w:szCs w:val="24"/>
          <w:highlight w:val="none"/>
        </w:rPr>
        <w:t>附件</w:t>
      </w:r>
      <w:r>
        <w:rPr>
          <w:color w:val="auto"/>
          <w:sz w:val="24"/>
          <w:szCs w:val="24"/>
          <w:highlight w:val="none"/>
        </w:rPr>
        <w:t>3</w:t>
      </w:r>
      <w:r>
        <w:rPr>
          <w:rFonts w:hint="eastAsia"/>
          <w:color w:val="auto"/>
          <w:sz w:val="24"/>
          <w:szCs w:val="24"/>
          <w:highlight w:val="none"/>
        </w:rPr>
        <w:t>：</w:t>
      </w:r>
      <w:bookmarkEnd w:id="446"/>
      <w:bookmarkEnd w:id="447"/>
    </w:p>
    <w:p w14:paraId="30B001C8">
      <w:pPr>
        <w:spacing w:line="360" w:lineRule="auto"/>
        <w:jc w:val="center"/>
        <w:rPr>
          <w:rFonts w:ascii="华文中宋" w:hAnsi="华文中宋" w:eastAsia="华文中宋"/>
          <w:color w:val="auto"/>
          <w:sz w:val="24"/>
          <w:szCs w:val="24"/>
          <w:highlight w:val="none"/>
        </w:rPr>
      </w:pPr>
      <w:r>
        <w:rPr>
          <w:rFonts w:hint="eastAsia" w:ascii="华文中宋" w:hAnsi="华文中宋" w:eastAsia="华文中宋"/>
          <w:color w:val="auto"/>
          <w:sz w:val="24"/>
          <w:szCs w:val="24"/>
          <w:highlight w:val="none"/>
        </w:rPr>
        <w:t>安全环保管理协议</w:t>
      </w:r>
    </w:p>
    <w:p w14:paraId="48D490A3">
      <w:pPr>
        <w:autoSpaceDE w:val="0"/>
        <w:autoSpaceDN w:val="0"/>
        <w:adjustRightInd w:val="0"/>
        <w:spacing w:line="360" w:lineRule="auto"/>
        <w:jc w:val="left"/>
        <w:rPr>
          <w:rFonts w:ascii="宋体" w:hAnsi="宋体"/>
          <w:b/>
          <w:color w:val="auto"/>
          <w:kern w:val="0"/>
          <w:sz w:val="24"/>
          <w:szCs w:val="24"/>
          <w:highlight w:val="none"/>
        </w:rPr>
      </w:pPr>
      <w:r>
        <w:rPr>
          <w:rFonts w:hint="eastAsia" w:ascii="宋体" w:hAnsi="宋体"/>
          <w:b/>
          <w:color w:val="auto"/>
          <w:kern w:val="0"/>
          <w:sz w:val="24"/>
          <w:szCs w:val="24"/>
          <w:highlight w:val="none"/>
        </w:rPr>
        <w:t>甲方：</w:t>
      </w:r>
      <w:r>
        <w:rPr>
          <w:rFonts w:hint="eastAsia" w:ascii="宋体" w:hAnsi="宋体"/>
          <w:b/>
          <w:color w:val="auto"/>
          <w:kern w:val="0"/>
          <w:sz w:val="24"/>
          <w:szCs w:val="24"/>
          <w:highlight w:val="none"/>
          <w:u w:val="single"/>
          <w:lang w:eastAsia="zh-CN"/>
        </w:rPr>
        <w:t>浙江巨化化工矿业有限公司</w:t>
      </w:r>
      <w:r>
        <w:rPr>
          <w:rFonts w:hint="eastAsia" w:ascii="宋体" w:hAnsi="宋体"/>
          <w:b/>
          <w:color w:val="auto"/>
          <w:kern w:val="0"/>
          <w:sz w:val="24"/>
          <w:szCs w:val="24"/>
          <w:highlight w:val="none"/>
          <w:u w:val="single"/>
        </w:rPr>
        <w:t xml:space="preserve"> </w:t>
      </w:r>
    </w:p>
    <w:p w14:paraId="2983E19F">
      <w:pPr>
        <w:autoSpaceDE w:val="0"/>
        <w:autoSpaceDN w:val="0"/>
        <w:adjustRightInd w:val="0"/>
        <w:snapToGrid w:val="0"/>
        <w:spacing w:line="360" w:lineRule="auto"/>
        <w:ind w:right="-334" w:rightChars="-159"/>
        <w:jc w:val="left"/>
        <w:rPr>
          <w:rFonts w:ascii="宋体" w:hAnsi="宋体"/>
          <w:color w:val="auto"/>
          <w:kern w:val="0"/>
          <w:sz w:val="24"/>
          <w:szCs w:val="24"/>
          <w:highlight w:val="none"/>
          <w:u w:val="single"/>
        </w:rPr>
      </w:pPr>
      <w:r>
        <w:rPr>
          <w:rFonts w:hint="eastAsia" w:ascii="宋体" w:hAnsi="宋体"/>
          <w:b/>
          <w:color w:val="auto"/>
          <w:kern w:val="0"/>
          <w:sz w:val="24"/>
          <w:szCs w:val="24"/>
          <w:highlight w:val="none"/>
        </w:rPr>
        <w:t>乙方：</w:t>
      </w:r>
      <w:r>
        <w:rPr>
          <w:rFonts w:hint="eastAsia" w:ascii="宋体" w:hAnsi="宋体"/>
          <w:b/>
          <w:color w:val="auto"/>
          <w:kern w:val="0"/>
          <w:sz w:val="24"/>
          <w:szCs w:val="24"/>
          <w:highlight w:val="none"/>
          <w:u w:val="single"/>
        </w:rPr>
        <w:t xml:space="preserve">                    </w:t>
      </w:r>
      <w:r>
        <w:rPr>
          <w:rFonts w:ascii="宋体" w:hAnsi="宋体"/>
          <w:color w:val="auto"/>
          <w:kern w:val="0"/>
          <w:sz w:val="24"/>
          <w:szCs w:val="24"/>
          <w:highlight w:val="none"/>
          <w:u w:val="single"/>
        </w:rPr>
        <w:t xml:space="preserve"> </w:t>
      </w:r>
    </w:p>
    <w:p w14:paraId="04D1F6B4">
      <w:pPr>
        <w:widowControl/>
        <w:spacing w:line="360" w:lineRule="auto"/>
        <w:ind w:firstLine="480" w:firstLineChars="200"/>
        <w:jc w:val="left"/>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为了贯彻“安全第一、预防为主、综合治理”的安全生产方针，规范乙方在承接</w:t>
      </w:r>
      <w:r>
        <w:rPr>
          <w:rStyle w:val="39"/>
          <w:rFonts w:hint="eastAsia" w:ascii="宋体" w:hAnsi="宋体"/>
          <w:i w:val="0"/>
          <w:color w:val="auto"/>
          <w:sz w:val="24"/>
          <w:szCs w:val="24"/>
          <w:highlight w:val="none"/>
          <w:lang w:eastAsia="zh-CN"/>
        </w:rPr>
        <w:t>浙江巨化化工矿业有限公司后塘弄尾矿库闭库及恢复林业生产条件和森林覆盖项目</w:t>
      </w:r>
      <w:r>
        <w:rPr>
          <w:rStyle w:val="39"/>
          <w:rFonts w:hint="eastAsia" w:ascii="宋体" w:hAnsi="宋体"/>
          <w:i w:val="0"/>
          <w:color w:val="auto"/>
          <w:sz w:val="24"/>
          <w:szCs w:val="24"/>
          <w:highlight w:val="none"/>
        </w:rPr>
        <w:t xml:space="preserve"> 项目的安全行为，加强对工程的安全生产管理，明确安全生产责任，防止和减少施工作业中的安全事故， 按照《安全生产法》、《矿山安全法》及其他有关法律、法规、规章的有关规定，并依据相关要求，甲乙双方遵循平等、自愿、公平和诚实信用的原则，就工程安全环保管理事项协商一致，订立本协议。</w:t>
      </w:r>
    </w:p>
    <w:p w14:paraId="3AB4B4F8">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根据《中华人民共和国安全生产法》、《合同法》等有关法律法规，双方在平等自愿的基础上，经过充分协商达成如下协议并共同遵守：</w:t>
      </w:r>
    </w:p>
    <w:p w14:paraId="5619BCD7">
      <w:pPr>
        <w:spacing w:line="360" w:lineRule="auto"/>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    第一条 工程概况 </w:t>
      </w:r>
    </w:p>
    <w:p w14:paraId="1D2F0A78">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1.工程名称：</w:t>
      </w:r>
      <w:r>
        <w:rPr>
          <w:rStyle w:val="39"/>
          <w:rFonts w:hint="eastAsia" w:ascii="宋体" w:hAnsi="宋体"/>
          <w:i w:val="0"/>
          <w:color w:val="auto"/>
          <w:sz w:val="24"/>
          <w:szCs w:val="24"/>
          <w:highlight w:val="none"/>
          <w:lang w:eastAsia="zh-CN"/>
        </w:rPr>
        <w:t>浙江巨化化工矿业有限公司后塘弄尾矿库闭库及恢复林业生产条件和森林覆盖项目</w:t>
      </w:r>
      <w:r>
        <w:rPr>
          <w:rStyle w:val="39"/>
          <w:rFonts w:hint="eastAsia" w:ascii="宋体" w:hAnsi="宋体"/>
          <w:i w:val="0"/>
          <w:color w:val="auto"/>
          <w:sz w:val="24"/>
          <w:szCs w:val="24"/>
          <w:highlight w:val="none"/>
        </w:rPr>
        <w:t xml:space="preserve">  </w:t>
      </w:r>
    </w:p>
    <w:p w14:paraId="6124147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2.工程地点：</w:t>
      </w:r>
    </w:p>
    <w:p w14:paraId="61818A42">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3.工程承包主要内容：</w:t>
      </w:r>
    </w:p>
    <w:p w14:paraId="311EDFC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4.工期</w:t>
      </w:r>
      <w:r>
        <w:rPr>
          <w:rStyle w:val="39"/>
          <w:rFonts w:hint="eastAsia" w:ascii="宋体" w:hAnsi="宋体"/>
          <w:i w:val="0"/>
          <w:color w:val="auto"/>
          <w:sz w:val="24"/>
          <w:szCs w:val="24"/>
          <w:highlight w:val="none"/>
          <w:u w:val="single"/>
        </w:rPr>
        <w:t xml:space="preserve">                     </w:t>
      </w:r>
      <w:r>
        <w:rPr>
          <w:rStyle w:val="39"/>
          <w:rFonts w:hint="eastAsia" w:ascii="宋体" w:hAnsi="宋体"/>
          <w:i w:val="0"/>
          <w:color w:val="auto"/>
          <w:sz w:val="24"/>
          <w:szCs w:val="24"/>
          <w:highlight w:val="none"/>
        </w:rPr>
        <w:t>。</w:t>
      </w:r>
    </w:p>
    <w:p w14:paraId="6D2C2CFD">
      <w:pPr>
        <w:spacing w:line="360" w:lineRule="auto"/>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    第二条  双方应当遵循的基本原则 </w:t>
      </w:r>
    </w:p>
    <w:p w14:paraId="15449917">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1.甲乙双方安全生产监督管理人员应当坚持原则、忠于职守，严格按本协议的约定履行各自的权利、义务。</w:t>
      </w:r>
    </w:p>
    <w:p w14:paraId="5F7EDFA0">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2.双方应相互配合，支持安全工作的检查和落实。乙方不得拒绝、阻扰甲方安全监督检查工作。</w:t>
      </w:r>
    </w:p>
    <w:p w14:paraId="0049A4B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3.乙方应牢固树立“安全第一”的指导思想，建立健全各项安全管理规章指导，制订并落实各项安全防护措施。</w:t>
      </w:r>
    </w:p>
    <w:p w14:paraId="2FD4092D">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4.双方必须严守技术秘密和业务秘密。</w:t>
      </w:r>
    </w:p>
    <w:p w14:paraId="07F05CA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5.甲乙双方应严格遵守国家有关安全、环保、消防、职业健康的法律、法规及公司《承包商、供应商安全管理制度》规定。乙方指派</w:t>
      </w:r>
      <w:r>
        <w:rPr>
          <w:rStyle w:val="39"/>
          <w:rFonts w:hint="eastAsia" w:ascii="宋体" w:hAnsi="宋体"/>
          <w:i w:val="0"/>
          <w:color w:val="auto"/>
          <w:sz w:val="24"/>
          <w:szCs w:val="24"/>
          <w:highlight w:val="none"/>
          <w:u w:val="single"/>
        </w:rPr>
        <w:t xml:space="preserve">_ </w:t>
      </w:r>
      <w:r>
        <w:rPr>
          <w:rStyle w:val="39"/>
          <w:rFonts w:ascii="宋体" w:hAnsi="宋体"/>
          <w:i w:val="0"/>
          <w:color w:val="auto"/>
          <w:sz w:val="24"/>
          <w:szCs w:val="24"/>
          <w:highlight w:val="none"/>
          <w:u w:val="single"/>
        </w:rPr>
        <w:t xml:space="preserve">   </w:t>
      </w:r>
      <w:r>
        <w:rPr>
          <w:rStyle w:val="39"/>
          <w:rFonts w:hint="eastAsia" w:ascii="宋体" w:hAnsi="宋体"/>
          <w:i w:val="0"/>
          <w:color w:val="auto"/>
          <w:sz w:val="24"/>
          <w:szCs w:val="24"/>
          <w:highlight w:val="none"/>
          <w:u w:val="single"/>
        </w:rPr>
        <w:t>_</w:t>
      </w:r>
      <w:r>
        <w:rPr>
          <w:rStyle w:val="39"/>
          <w:rFonts w:hint="eastAsia" w:ascii="宋体" w:hAnsi="宋体"/>
          <w:i w:val="0"/>
          <w:color w:val="auto"/>
          <w:sz w:val="24"/>
          <w:szCs w:val="24"/>
          <w:highlight w:val="none"/>
        </w:rPr>
        <w:t>_同志，联系电话：</w:t>
      </w:r>
      <w:r>
        <w:rPr>
          <w:rStyle w:val="39"/>
          <w:rFonts w:ascii="宋体" w:hAnsi="宋体"/>
          <w:i w:val="0"/>
          <w:color w:val="auto"/>
          <w:sz w:val="24"/>
          <w:szCs w:val="24"/>
          <w:highlight w:val="none"/>
          <w:u w:val="single"/>
        </w:rPr>
        <w:t xml:space="preserve">            </w:t>
      </w:r>
      <w:r>
        <w:rPr>
          <w:rStyle w:val="39"/>
          <w:rFonts w:hint="eastAsia" w:ascii="宋体" w:hAnsi="宋体"/>
          <w:i w:val="0"/>
          <w:color w:val="auto"/>
          <w:sz w:val="24"/>
          <w:szCs w:val="24"/>
          <w:highlight w:val="none"/>
          <w:u w:val="single"/>
        </w:rPr>
        <w:t>_</w:t>
      </w:r>
      <w:r>
        <w:rPr>
          <w:rStyle w:val="39"/>
          <w:rFonts w:hint="eastAsia" w:ascii="宋体" w:hAnsi="宋体"/>
          <w:i w:val="0"/>
          <w:color w:val="auto"/>
          <w:sz w:val="24"/>
          <w:szCs w:val="24"/>
          <w:highlight w:val="none"/>
        </w:rPr>
        <w:t xml:space="preserve"> </w:t>
      </w:r>
      <w:r>
        <w:rPr>
          <w:rStyle w:val="39"/>
          <w:rFonts w:hint="eastAsia" w:ascii="宋体" w:hAnsi="宋体" w:eastAsia="宋体"/>
          <w:i w:val="0"/>
          <w:color w:val="auto"/>
          <w:sz w:val="24"/>
          <w:szCs w:val="24"/>
          <w:highlight w:val="none"/>
          <w:lang w:eastAsia="zh-CN"/>
        </w:rPr>
        <w:t>，</w:t>
      </w:r>
      <w:r>
        <w:rPr>
          <w:rStyle w:val="39"/>
          <w:rFonts w:hint="eastAsia" w:ascii="宋体" w:hAnsi="宋体"/>
          <w:i w:val="0"/>
          <w:color w:val="auto"/>
          <w:sz w:val="24"/>
          <w:szCs w:val="24"/>
          <w:highlight w:val="none"/>
        </w:rPr>
        <w:t>负责安全管理工作，甲方指派_ _同志，联系电话：</w:t>
      </w:r>
      <w:r>
        <w:rPr>
          <w:rStyle w:val="39"/>
          <w:rFonts w:hint="eastAsia" w:ascii="宋体" w:hAnsi="宋体"/>
          <w:i w:val="0"/>
          <w:color w:val="auto"/>
          <w:sz w:val="24"/>
          <w:szCs w:val="24"/>
          <w:highlight w:val="none"/>
          <w:u w:val="single"/>
        </w:rPr>
        <w:t>__</w:t>
      </w:r>
      <w:r>
        <w:rPr>
          <w:rStyle w:val="39"/>
          <w:rFonts w:hint="eastAsia" w:ascii="宋体" w:hAnsi="宋体"/>
          <w:i w:val="0"/>
          <w:color w:val="auto"/>
          <w:sz w:val="24"/>
          <w:szCs w:val="24"/>
          <w:highlight w:val="none"/>
        </w:rPr>
        <w:t xml:space="preserve"> </w:t>
      </w:r>
      <w:r>
        <w:rPr>
          <w:rStyle w:val="39"/>
          <w:rFonts w:hint="eastAsia" w:ascii="宋体" w:hAnsi="宋体" w:eastAsia="宋体"/>
          <w:i w:val="0"/>
          <w:color w:val="auto"/>
          <w:sz w:val="24"/>
          <w:szCs w:val="24"/>
          <w:highlight w:val="none"/>
          <w:lang w:eastAsia="zh-CN"/>
        </w:rPr>
        <w:t>，</w:t>
      </w:r>
      <w:r>
        <w:rPr>
          <w:rStyle w:val="39"/>
          <w:rFonts w:hint="eastAsia" w:ascii="宋体" w:hAnsi="宋体"/>
          <w:i w:val="0"/>
          <w:color w:val="auto"/>
          <w:sz w:val="24"/>
          <w:szCs w:val="24"/>
          <w:highlight w:val="none"/>
        </w:rPr>
        <w:t xml:space="preserve">对口安全管理。 </w:t>
      </w:r>
    </w:p>
    <w:p w14:paraId="068EBE2C">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第三条   承诺 </w:t>
      </w:r>
    </w:p>
    <w:p w14:paraId="25D2BA62">
      <w:pPr>
        <w:spacing w:line="360" w:lineRule="auto"/>
        <w:ind w:firstLine="480" w:firstLineChars="200"/>
        <w:rPr>
          <w:rStyle w:val="39"/>
          <w:rFonts w:ascii="宋体" w:hAnsi="宋体"/>
          <w:i w:val="0"/>
          <w:color w:val="auto"/>
          <w:sz w:val="24"/>
          <w:szCs w:val="24"/>
          <w:highlight w:val="none"/>
        </w:rPr>
      </w:pPr>
      <w:r>
        <w:rPr>
          <w:rStyle w:val="39"/>
          <w:rFonts w:ascii="宋体" w:hAnsi="宋体"/>
          <w:i w:val="0"/>
          <w:color w:val="auto"/>
          <w:sz w:val="24"/>
          <w:szCs w:val="24"/>
          <w:highlight w:val="none"/>
        </w:rPr>
        <w:t>1.</w:t>
      </w:r>
      <w:r>
        <w:rPr>
          <w:rStyle w:val="39"/>
          <w:rFonts w:hint="eastAsia" w:ascii="宋体" w:hAnsi="宋体"/>
          <w:i w:val="0"/>
          <w:color w:val="auto"/>
          <w:sz w:val="24"/>
          <w:szCs w:val="24"/>
          <w:highlight w:val="none"/>
        </w:rPr>
        <w:t xml:space="preserve">甲方承诺。 </w:t>
      </w:r>
    </w:p>
    <w:p w14:paraId="2B5C8A4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(1)严格遵守《安全生产法》、《矿山安全法》和《办法》及其他有关法律、法规、规章和标准的有关规定。 </w:t>
      </w:r>
    </w:p>
    <w:p w14:paraId="064FAB87">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w:t>
      </w:r>
      <w:r>
        <w:rPr>
          <w:rStyle w:val="39"/>
          <w:rFonts w:hint="eastAsia" w:ascii="宋体" w:hAnsi="宋体"/>
          <w:i w:val="0"/>
          <w:color w:val="auto"/>
          <w:sz w:val="24"/>
          <w:szCs w:val="24"/>
          <w:highlight w:val="none"/>
        </w:rPr>
        <w:t xml:space="preserve">)严格遵守工程设计，不违章指挥或者强令乙方及其从业人员冒险作业。 </w:t>
      </w:r>
    </w:p>
    <w:p w14:paraId="7390A955">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3</w:t>
      </w:r>
      <w:r>
        <w:rPr>
          <w:rStyle w:val="39"/>
          <w:rFonts w:hint="eastAsia" w:ascii="宋体" w:hAnsi="宋体"/>
          <w:i w:val="0"/>
          <w:color w:val="auto"/>
          <w:sz w:val="24"/>
          <w:szCs w:val="24"/>
          <w:highlight w:val="none"/>
        </w:rPr>
        <w:t xml:space="preserve">)严格遵守甲乙双方签订的本协议。 </w:t>
      </w:r>
    </w:p>
    <w:p w14:paraId="25D06F50">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4</w:t>
      </w:r>
      <w:r>
        <w:rPr>
          <w:rStyle w:val="39"/>
          <w:rFonts w:hint="eastAsia" w:ascii="宋体" w:hAnsi="宋体"/>
          <w:i w:val="0"/>
          <w:color w:val="auto"/>
          <w:sz w:val="24"/>
          <w:szCs w:val="24"/>
          <w:highlight w:val="none"/>
        </w:rPr>
        <w:t xml:space="preserve">)对工程安全生产负主体责任。 </w:t>
      </w:r>
    </w:p>
    <w:p w14:paraId="70528CC8">
      <w:pPr>
        <w:spacing w:line="360" w:lineRule="auto"/>
        <w:ind w:firstLine="480" w:firstLineChars="200"/>
        <w:rPr>
          <w:rStyle w:val="39"/>
          <w:rFonts w:ascii="宋体" w:hAnsi="宋体"/>
          <w:i w:val="0"/>
          <w:color w:val="auto"/>
          <w:sz w:val="24"/>
          <w:szCs w:val="24"/>
          <w:highlight w:val="none"/>
        </w:rPr>
      </w:pPr>
      <w:r>
        <w:rPr>
          <w:rStyle w:val="39"/>
          <w:rFonts w:ascii="宋体" w:hAnsi="宋体"/>
          <w:i w:val="0"/>
          <w:color w:val="auto"/>
          <w:sz w:val="24"/>
          <w:szCs w:val="24"/>
          <w:highlight w:val="none"/>
        </w:rPr>
        <w:t>2.</w:t>
      </w:r>
      <w:r>
        <w:rPr>
          <w:rStyle w:val="39"/>
          <w:rFonts w:hint="eastAsia" w:ascii="宋体" w:hAnsi="宋体"/>
          <w:i w:val="0"/>
          <w:color w:val="auto"/>
          <w:sz w:val="24"/>
          <w:szCs w:val="24"/>
          <w:highlight w:val="none"/>
        </w:rPr>
        <w:t xml:space="preserve">乙方承诺。 </w:t>
      </w:r>
    </w:p>
    <w:p w14:paraId="13C6D74E">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(1)严格遵守《安全生产法》、《矿山安全法》和《办法》及其他有关法律、法规、规章和标准的有关规定。 </w:t>
      </w:r>
    </w:p>
    <w:p w14:paraId="66E39C2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w:t>
      </w:r>
      <w:r>
        <w:rPr>
          <w:rStyle w:val="39"/>
          <w:rFonts w:hint="eastAsia" w:ascii="宋体" w:hAnsi="宋体"/>
          <w:i w:val="0"/>
          <w:color w:val="auto"/>
          <w:sz w:val="24"/>
          <w:szCs w:val="24"/>
          <w:highlight w:val="none"/>
        </w:rPr>
        <w:t>)严格遵守工程设计</w:t>
      </w:r>
      <w:r>
        <w:rPr>
          <w:rStyle w:val="39"/>
          <w:rFonts w:hint="eastAsia" w:ascii="宋体" w:hAnsi="宋体" w:eastAsia="宋体"/>
          <w:i w:val="0"/>
          <w:color w:val="auto"/>
          <w:sz w:val="24"/>
          <w:szCs w:val="24"/>
          <w:highlight w:val="none"/>
          <w:lang w:eastAsia="zh-CN"/>
        </w:rPr>
        <w:t>，</w:t>
      </w:r>
      <w:r>
        <w:rPr>
          <w:rStyle w:val="39"/>
          <w:rFonts w:hint="eastAsia" w:ascii="宋体" w:hAnsi="宋体"/>
          <w:i w:val="0"/>
          <w:color w:val="auto"/>
          <w:sz w:val="24"/>
          <w:szCs w:val="24"/>
          <w:highlight w:val="none"/>
        </w:rPr>
        <w:t xml:space="preserve">按工程设计、工程施工方案组织施工。 </w:t>
      </w:r>
    </w:p>
    <w:p w14:paraId="5F64C990">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3</w:t>
      </w:r>
      <w:r>
        <w:rPr>
          <w:rStyle w:val="39"/>
          <w:rFonts w:hint="eastAsia" w:ascii="宋体" w:hAnsi="宋体"/>
          <w:i w:val="0"/>
          <w:color w:val="auto"/>
          <w:sz w:val="24"/>
          <w:szCs w:val="24"/>
          <w:highlight w:val="none"/>
        </w:rPr>
        <w:t xml:space="preserve">)严格遵守甲乙双方签订的本协议。 </w:t>
      </w:r>
    </w:p>
    <w:p w14:paraId="25FAAC03">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4</w:t>
      </w:r>
      <w:r>
        <w:rPr>
          <w:rStyle w:val="39"/>
          <w:rFonts w:hint="eastAsia" w:ascii="宋体" w:hAnsi="宋体"/>
          <w:i w:val="0"/>
          <w:color w:val="auto"/>
          <w:sz w:val="24"/>
          <w:szCs w:val="24"/>
          <w:highlight w:val="none"/>
        </w:rPr>
        <w:t xml:space="preserve">)保证提供给甲方的非煤矿山安全生产许可证、施工资质证书、从业人员信息等相关资料真实可靠，并对因上述资料不真实可靠造成的后果负法律责任。 </w:t>
      </w:r>
    </w:p>
    <w:p w14:paraId="30FD120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5</w:t>
      </w:r>
      <w:r>
        <w:rPr>
          <w:rStyle w:val="39"/>
          <w:rFonts w:hint="eastAsia" w:ascii="宋体" w:hAnsi="宋体"/>
          <w:i w:val="0"/>
          <w:color w:val="auto"/>
          <w:sz w:val="24"/>
          <w:szCs w:val="24"/>
          <w:highlight w:val="none"/>
        </w:rPr>
        <w:t>)对工程施工现场的安全生产负责.</w:t>
      </w:r>
    </w:p>
    <w:p w14:paraId="32213A0D">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第四条  安全教育与培训</w:t>
      </w:r>
    </w:p>
    <w:p w14:paraId="08E0065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甲方应当对乙方的安全教育与培训工作进行指导。 </w:t>
      </w:r>
    </w:p>
    <w:p w14:paraId="64BEA3A1">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甲方应当监督检查乙方开展员工安全教育培训工作情况。 </w:t>
      </w:r>
    </w:p>
    <w:p w14:paraId="27C456B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3</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乙方应当制定本单位的安全教育培训工作计划。 </w:t>
      </w:r>
    </w:p>
    <w:p w14:paraId="39462448">
      <w:pPr>
        <w:widowControl/>
        <w:spacing w:line="360" w:lineRule="auto"/>
        <w:ind w:firstLine="480" w:firstLineChars="200"/>
        <w:jc w:val="left"/>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4</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乙方应当按照相关法律、法规、规章和标准对本单位从业人员进行安全教育培训，保证从业人员掌握必需的安全生产知识、操作技能和应急逃生知识。 </w:t>
      </w:r>
    </w:p>
    <w:p w14:paraId="02AB1BFA">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第五条  隐患排查与治理 </w:t>
      </w:r>
    </w:p>
    <w:p w14:paraId="4320FC06">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甲方应当建立健全事故隐患排查治理和建档、监控等项制度，定期对隐患排查治理情况进行统计分析与报告。 </w:t>
      </w:r>
    </w:p>
    <w:p w14:paraId="57B9DC6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乙方应当定期排查并及时治理工程作业范围内的事故隐患，建立台账，做好相关记录，并及时向甲方报告。 </w:t>
      </w:r>
    </w:p>
    <w:p w14:paraId="3B7C7371">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3</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承包单位应当依照有关规定制定施工方案，加强现场作业安全管理，定期排查并及时治理事故隐患，落实各项规章制度和安全操作规程。乙方在工程作业范围内发现重大事故隐患后不能立即治理的，应当采取必要的防范措施，并及时书面报告甲方协商解决，消除事故隐患。</w:t>
      </w:r>
    </w:p>
    <w:p w14:paraId="532CE97A">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第六条  安全检查与考评 </w:t>
      </w:r>
    </w:p>
    <w:p w14:paraId="672671F2">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甲方应当加强工程监督检查工作，发现乙方违反法律、法规、规章和标准的行为，有权制止。 </w:t>
      </w:r>
    </w:p>
    <w:p w14:paraId="67B42DD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甲方应当建立健全工程施工的安全生产考核机制，制定考核办法，对乙方每年至少进行一次安全生产考核。 </w:t>
      </w:r>
    </w:p>
    <w:p w14:paraId="5800B7A3">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3</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乙方负责工程范围内的作业安全管理，制定施工方案，加强工程作业现场的日常安全检查，落实各项规章制度和安全操作规程。</w:t>
      </w:r>
    </w:p>
    <w:p w14:paraId="0BF91515">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4</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在整个工程施工过程中，乙方应当保持安全管理人员和工程技术人员的连续稳定，保持与承揽工程相匹配的施工资质，保证企业负责人、安全管理人员和特种作业人员持有效证件；同时，若技术人员、特种作业人员和设备设施发生变化的，乙方应当书面告知甲方。 </w:t>
      </w:r>
    </w:p>
    <w:p w14:paraId="6F97CCEC">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5</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乙方应当接受甲方的监督管理，遵守甲方的有关规章制度的要求。同时，乙方有权拒绝甲方违章指挥和强令冒险作业。 </w:t>
      </w:r>
    </w:p>
    <w:p w14:paraId="7D99EB3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6</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乙方应当向甲方提供安全生产考核所需资料，接受甲方的考核与奖惩。</w:t>
      </w:r>
    </w:p>
    <w:p w14:paraId="1CDFA83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第七条  甲、乙双方的权利与义务 </w:t>
      </w:r>
    </w:p>
    <w:p w14:paraId="42B73297">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甲方的权利与义务 </w:t>
      </w:r>
    </w:p>
    <w:p w14:paraId="144CDFB6">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(1)协助乙方了解甲方有关安全、环保、消防、职业健康管理的规章制度，协助乙方解决作业过程中各种涉及安全的问题。把对乙方的安全监督管理工作纳入甲方的安全管理体系之中。 </w:t>
      </w:r>
    </w:p>
    <w:p w14:paraId="5BECDC2C">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w:t>
      </w:r>
      <w:r>
        <w:rPr>
          <w:rStyle w:val="39"/>
          <w:rFonts w:hint="eastAsia" w:ascii="宋体" w:hAnsi="宋体"/>
          <w:i w:val="0"/>
          <w:color w:val="auto"/>
          <w:sz w:val="24"/>
          <w:szCs w:val="24"/>
          <w:highlight w:val="none"/>
        </w:rPr>
        <w:t xml:space="preserve">)甲方负责组织乙方入司人员进行入厂三级安全教育培训，并监督检查乙方日常安全教育培训的开展落实情况。 </w:t>
      </w:r>
    </w:p>
    <w:p w14:paraId="66986511">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3</w:t>
      </w:r>
      <w:r>
        <w:rPr>
          <w:rStyle w:val="39"/>
          <w:rFonts w:hint="eastAsia" w:ascii="宋体" w:hAnsi="宋体"/>
          <w:i w:val="0"/>
          <w:color w:val="auto"/>
          <w:sz w:val="24"/>
          <w:szCs w:val="24"/>
          <w:highlight w:val="none"/>
        </w:rPr>
        <w:t>)针对合同内容</w:t>
      </w:r>
      <w:r>
        <w:rPr>
          <w:rStyle w:val="39"/>
          <w:rFonts w:hint="eastAsia" w:ascii="宋体" w:hAnsi="宋体" w:eastAsia="宋体"/>
          <w:i w:val="0"/>
          <w:color w:val="auto"/>
          <w:sz w:val="24"/>
          <w:szCs w:val="24"/>
          <w:highlight w:val="none"/>
          <w:lang w:eastAsia="zh-CN"/>
        </w:rPr>
        <w:t>，</w:t>
      </w:r>
      <w:r>
        <w:rPr>
          <w:rStyle w:val="39"/>
          <w:rFonts w:hint="eastAsia" w:ascii="宋体" w:hAnsi="宋体"/>
          <w:i w:val="0"/>
          <w:color w:val="auto"/>
          <w:sz w:val="24"/>
          <w:szCs w:val="24"/>
          <w:highlight w:val="none"/>
        </w:rPr>
        <w:t xml:space="preserve">甲方配合乙方编制施工作业安全技术措施和专项施工方案，并监督检查乙方施工过程中的各项安全措施落实情况。 </w:t>
      </w:r>
    </w:p>
    <w:p w14:paraId="7CACFA65">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4</w:t>
      </w:r>
      <w:r>
        <w:rPr>
          <w:rStyle w:val="39"/>
          <w:rFonts w:hint="eastAsia" w:ascii="宋体" w:hAnsi="宋体"/>
          <w:i w:val="0"/>
          <w:color w:val="auto"/>
          <w:sz w:val="24"/>
          <w:szCs w:val="24"/>
          <w:highlight w:val="none"/>
        </w:rPr>
        <w:t xml:space="preserve">)甲方技术人员负责在作业（项目）开始之前对乙方人员进行安全技术交底，并在乙方施工作业过程中对安全技术交底落实情况进行不定期监督检查。 </w:t>
      </w:r>
    </w:p>
    <w:p w14:paraId="4E7D4138">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5</w:t>
      </w:r>
      <w:r>
        <w:rPr>
          <w:rStyle w:val="39"/>
          <w:rFonts w:hint="eastAsia" w:ascii="宋体" w:hAnsi="宋体"/>
          <w:i w:val="0"/>
          <w:color w:val="auto"/>
          <w:sz w:val="24"/>
          <w:szCs w:val="24"/>
          <w:highlight w:val="none"/>
        </w:rPr>
        <w:t xml:space="preserve">)乙方在作业（项目）过程中，如有违反甲方(公司)安全规定的，甲方相关管理人员有权终止乙方作业，乙方需按要求整改合格后方可继续开展作业。 </w:t>
      </w:r>
    </w:p>
    <w:p w14:paraId="52A29D43">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6</w:t>
      </w:r>
      <w:r>
        <w:rPr>
          <w:rStyle w:val="39"/>
          <w:rFonts w:hint="eastAsia" w:ascii="宋体" w:hAnsi="宋体"/>
          <w:i w:val="0"/>
          <w:color w:val="auto"/>
          <w:sz w:val="24"/>
          <w:szCs w:val="24"/>
          <w:highlight w:val="none"/>
        </w:rPr>
        <w:t xml:space="preserve">)对乙方在作业（项目）过程中违反公司安全、环保、消防、职业健康、治安保卫、文明施工规定的行为，甲方(公司)依据相关规定有权对乙方进行相应考核或提出停工整改要求。如违章行为给甲方造成损失的，一切损失、责任由乙方负责。 </w:t>
      </w:r>
    </w:p>
    <w:p w14:paraId="15A27626">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7</w:t>
      </w:r>
      <w:r>
        <w:rPr>
          <w:rStyle w:val="39"/>
          <w:rFonts w:hint="eastAsia" w:ascii="宋体" w:hAnsi="宋体"/>
          <w:i w:val="0"/>
          <w:color w:val="auto"/>
          <w:sz w:val="24"/>
          <w:szCs w:val="24"/>
          <w:highlight w:val="none"/>
        </w:rPr>
        <w:t xml:space="preserve">)乙方在作业（项目）过程，甲方监督乙方施工作业人员按公司相关管理要求穿戴（配备）相应劳动防护用品，并不定期对作业过程开展监督检查。 </w:t>
      </w:r>
    </w:p>
    <w:p w14:paraId="5C7F9EAE">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8</w:t>
      </w:r>
      <w:r>
        <w:rPr>
          <w:rStyle w:val="39"/>
          <w:rFonts w:hint="eastAsia" w:ascii="宋体" w:hAnsi="宋体"/>
          <w:i w:val="0"/>
          <w:color w:val="auto"/>
          <w:sz w:val="24"/>
          <w:szCs w:val="24"/>
          <w:highlight w:val="none"/>
        </w:rPr>
        <w:t xml:space="preserve">)乙方作业过程中，甲方根据需要协助乙方开展相关协调工作。 </w:t>
      </w:r>
    </w:p>
    <w:p w14:paraId="55AEB60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9</w:t>
      </w:r>
      <w:r>
        <w:rPr>
          <w:rStyle w:val="39"/>
          <w:rFonts w:hint="eastAsia" w:ascii="宋体" w:hAnsi="宋体"/>
          <w:i w:val="0"/>
          <w:color w:val="auto"/>
          <w:sz w:val="24"/>
          <w:szCs w:val="24"/>
          <w:highlight w:val="none"/>
        </w:rPr>
        <w:t xml:space="preserve">)合同履行过程中，甲方负监管责任。 </w:t>
      </w:r>
    </w:p>
    <w:p w14:paraId="576B2451">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乙方的权利与义务 </w:t>
      </w:r>
    </w:p>
    <w:p w14:paraId="21DEAE0D">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(1)合同签订前，乙方必须准备好本单位的相关资质、证件等材料，到甲方安全环保部进行登记、备案。 </w:t>
      </w:r>
    </w:p>
    <w:p w14:paraId="70C24ECE">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w:t>
      </w:r>
      <w:r>
        <w:rPr>
          <w:rStyle w:val="39"/>
          <w:rFonts w:hint="eastAsia" w:ascii="宋体" w:hAnsi="宋体"/>
          <w:i w:val="0"/>
          <w:color w:val="auto"/>
          <w:sz w:val="24"/>
          <w:szCs w:val="24"/>
          <w:highlight w:val="none"/>
        </w:rPr>
        <w:t xml:space="preserve">)乙方在作业（项目）过程中，必须接受甲方有关管理部门和辖区单位的监督管理，遵守甲方安全、环保、消防、职业健康等管理规章制度。 </w:t>
      </w:r>
    </w:p>
    <w:p w14:paraId="5CC495CE">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3</w:t>
      </w:r>
      <w:r>
        <w:rPr>
          <w:rStyle w:val="39"/>
          <w:rFonts w:hint="eastAsia" w:ascii="宋体" w:hAnsi="宋体"/>
          <w:i w:val="0"/>
          <w:color w:val="auto"/>
          <w:sz w:val="24"/>
          <w:szCs w:val="24"/>
          <w:highlight w:val="none"/>
        </w:rPr>
        <w:t xml:space="preserve">)乙方履行合同内容期间，必须依据相关法规及作业规范配备取得相应安全管理资质的专（兼）职安全管理人员，并认真开展安全管理工作。 </w:t>
      </w:r>
    </w:p>
    <w:p w14:paraId="0B675B0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4</w:t>
      </w:r>
      <w:r>
        <w:rPr>
          <w:rStyle w:val="39"/>
          <w:rFonts w:hint="eastAsia" w:ascii="宋体" w:hAnsi="宋体"/>
          <w:i w:val="0"/>
          <w:color w:val="auto"/>
          <w:sz w:val="24"/>
          <w:szCs w:val="24"/>
          <w:highlight w:val="none"/>
        </w:rPr>
        <w:t xml:space="preserve">)乙方在作业（项目）过程中应切实采取有效的安全防护、防火、环境保护措施，保证各类施工机械设备性能良好、安全防护设施（附件）齐全、灵敏、可靠。 </w:t>
      </w:r>
    </w:p>
    <w:p w14:paraId="78F1BD9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5</w:t>
      </w:r>
      <w:r>
        <w:rPr>
          <w:rStyle w:val="39"/>
          <w:rFonts w:hint="eastAsia" w:ascii="宋体" w:hAnsi="宋体"/>
          <w:i w:val="0"/>
          <w:color w:val="auto"/>
          <w:sz w:val="24"/>
          <w:szCs w:val="24"/>
          <w:highlight w:val="none"/>
        </w:rPr>
        <w:t>)乙方不得招用未满</w:t>
      </w:r>
      <w:r>
        <w:rPr>
          <w:rStyle w:val="39"/>
          <w:rFonts w:ascii="宋体" w:hAnsi="宋体"/>
          <w:i w:val="0"/>
          <w:color w:val="auto"/>
          <w:sz w:val="24"/>
          <w:szCs w:val="24"/>
          <w:highlight w:val="none"/>
        </w:rPr>
        <w:t>18</w:t>
      </w:r>
      <w:r>
        <w:rPr>
          <w:rStyle w:val="39"/>
          <w:rFonts w:hint="eastAsia" w:ascii="宋体" w:hAnsi="宋体"/>
          <w:i w:val="0"/>
          <w:color w:val="auto"/>
          <w:sz w:val="24"/>
          <w:szCs w:val="24"/>
          <w:highlight w:val="none"/>
        </w:rPr>
        <w:t xml:space="preserve">周岁和有效工作年限超过《中华人民共和国劳动法》及国家有关规定的人员、孕期和哺乳期女工、患有传染病、聋哑、残疾、智障和有职业禁忌症的人员参与作业或进入生产现场，乙方所有进场人员必须提供进场前职业健康体检，并做好相应的台账记录。乙方违反此规定产生的一切后果，由乙方承担全部责任。 </w:t>
      </w:r>
    </w:p>
    <w:p w14:paraId="12E80B4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6</w:t>
      </w:r>
      <w:r>
        <w:rPr>
          <w:rStyle w:val="39"/>
          <w:rFonts w:hint="eastAsia" w:ascii="宋体" w:hAnsi="宋体"/>
          <w:i w:val="0"/>
          <w:color w:val="auto"/>
          <w:sz w:val="24"/>
          <w:szCs w:val="24"/>
          <w:highlight w:val="none"/>
        </w:rPr>
        <w:t xml:space="preserve">)乙方施工过程中使用的机械设备等，在安装完毕交付使用前，应认真组织开展验收，验收合格后方可使用，严禁在未经验收或验收不合格的情况下投入使用。 </w:t>
      </w:r>
    </w:p>
    <w:p w14:paraId="578CF0B2">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7</w:t>
      </w:r>
      <w:r>
        <w:rPr>
          <w:rStyle w:val="39"/>
          <w:rFonts w:hint="eastAsia" w:ascii="宋体" w:hAnsi="宋体"/>
          <w:i w:val="0"/>
          <w:color w:val="auto"/>
          <w:sz w:val="24"/>
          <w:szCs w:val="24"/>
          <w:highlight w:val="none"/>
        </w:rPr>
        <w:t xml:space="preserve">)乙方在进行危险性作业时，必须遵守以下规定： </w:t>
      </w:r>
    </w:p>
    <w:p w14:paraId="55190006">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①必须按甲方（公司）相关管理要求办理相应危险作业安全许可证，并经相关人员签字审批、安全措施落实后方可作业。 </w:t>
      </w:r>
    </w:p>
    <w:p w14:paraId="78D2496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②特种作业人员必须取得相应作业证，持证上岗，否则不得开展作业。 </w:t>
      </w:r>
    </w:p>
    <w:p w14:paraId="589C22B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③开展涉及受限空间、动火作业等危险作业，作业现场必须设专职安全负责人（监护人员），负责现场的安全管理及协调指挥。 </w:t>
      </w:r>
    </w:p>
    <w:p w14:paraId="288BE37A">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④作业区域按要求拉、挂安全警示带和安全标志牌，作业人员按规定穿戴相应的安全防护器具。 </w:t>
      </w:r>
    </w:p>
    <w:p w14:paraId="2EF2FD7C">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8</w:t>
      </w:r>
      <w:r>
        <w:rPr>
          <w:rStyle w:val="39"/>
          <w:rFonts w:hint="eastAsia" w:ascii="宋体" w:hAnsi="宋体"/>
          <w:i w:val="0"/>
          <w:color w:val="auto"/>
          <w:sz w:val="24"/>
          <w:szCs w:val="24"/>
          <w:highlight w:val="none"/>
        </w:rPr>
        <w:t xml:space="preserve">)乙方人员入司（甲方公司）前必须接受甲方的安全教育培训，经考试合格后方可进入甲方公司开展作业。如果合同期内乙方入司人员变动，必须及时联系甲方开展相应安全教育培训，教育培训合格后方可进入，严禁私自替换人员。 </w:t>
      </w:r>
    </w:p>
    <w:p w14:paraId="19AE9B5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9</w:t>
      </w:r>
      <w:r>
        <w:rPr>
          <w:rStyle w:val="39"/>
          <w:rFonts w:hint="eastAsia" w:ascii="宋体" w:hAnsi="宋体"/>
          <w:i w:val="0"/>
          <w:color w:val="auto"/>
          <w:sz w:val="24"/>
          <w:szCs w:val="24"/>
          <w:highlight w:val="none"/>
        </w:rPr>
        <w:t xml:space="preserve">)合同期内乙方的安全负责人应对本单位人员开展经常性的安全教育，增强安全意识及自我保护能力，并形成记录待查。 </w:t>
      </w:r>
    </w:p>
    <w:p w14:paraId="623D5D57">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10</w:t>
      </w:r>
      <w:r>
        <w:rPr>
          <w:rStyle w:val="39"/>
          <w:rFonts w:hint="eastAsia" w:ascii="宋体" w:hAnsi="宋体"/>
          <w:i w:val="0"/>
          <w:color w:val="auto"/>
          <w:sz w:val="24"/>
          <w:szCs w:val="24"/>
          <w:highlight w:val="none"/>
        </w:rPr>
        <w:t xml:space="preserve">)乙方在作业过程中，需使用甲方的水、电、气、生产设备、安全消防等设施时，必须事先到甲方相关管理部门办理手续，得到批准后方可使用。如私自使用（紧急事故或救援情况下除外），一旦发现，责令停止使用并考核，如因私自使用影响到甲方生产或造成安全事故，一切责任及损失由乙方承担。 </w:t>
      </w:r>
    </w:p>
    <w:p w14:paraId="03620D1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11</w:t>
      </w:r>
      <w:r>
        <w:rPr>
          <w:rStyle w:val="39"/>
          <w:rFonts w:hint="eastAsia" w:ascii="宋体" w:hAnsi="宋体"/>
          <w:i w:val="0"/>
          <w:color w:val="auto"/>
          <w:sz w:val="24"/>
          <w:szCs w:val="24"/>
          <w:highlight w:val="none"/>
        </w:rPr>
        <w:t xml:space="preserve">)乙方需按国家规定按期向本单位员工提供符合国家相关法律要求及标准的劳动防护用品。乙方作业过程使用的工器具必须购买正规厂家生产的合格产品，穿戴劳动防护用品必须整齐，要求有明显的公司单位名称，并按甲方相关管理要求提供相应的检验合格证明。 </w:t>
      </w:r>
    </w:p>
    <w:p w14:paraId="06B83E9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12</w:t>
      </w:r>
      <w:r>
        <w:rPr>
          <w:rStyle w:val="39"/>
          <w:rFonts w:hint="eastAsia" w:ascii="宋体" w:hAnsi="宋体"/>
          <w:i w:val="0"/>
          <w:color w:val="auto"/>
          <w:sz w:val="24"/>
          <w:szCs w:val="24"/>
          <w:highlight w:val="none"/>
        </w:rPr>
        <w:t xml:space="preserve">)乙方在作业过程中产生的各种剩余物料、垃圾、废弃物等，应及时进行清扫和清运，不得随意丢弃，放至甲方指定场所（费用乙方自理），做到工完料尽场地清，文明施工。 </w:t>
      </w:r>
    </w:p>
    <w:p w14:paraId="3FD91A8E">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13</w:t>
      </w:r>
      <w:r>
        <w:rPr>
          <w:rStyle w:val="39"/>
          <w:rFonts w:hint="eastAsia" w:ascii="宋体" w:hAnsi="宋体"/>
          <w:i w:val="0"/>
          <w:color w:val="auto"/>
          <w:sz w:val="24"/>
          <w:szCs w:val="24"/>
          <w:highlight w:val="none"/>
        </w:rPr>
        <w:t xml:space="preserve">)乙方进入甲方（公司）的车辆严禁超速、超载，必须按规定路线行驶、停放，服从甲方（公司）交通管制。 </w:t>
      </w:r>
    </w:p>
    <w:p w14:paraId="32F60E6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14</w:t>
      </w:r>
      <w:r>
        <w:rPr>
          <w:rStyle w:val="39"/>
          <w:rFonts w:hint="eastAsia" w:ascii="宋体" w:hAnsi="宋体"/>
          <w:i w:val="0"/>
          <w:color w:val="auto"/>
          <w:sz w:val="24"/>
          <w:szCs w:val="24"/>
          <w:highlight w:val="none"/>
        </w:rPr>
        <w:t xml:space="preserve">)乙方所属人员进入甲方（公司）作业前，乙方必须为所属人员购买工伤保险或增加购买意外伤害保险，发生事故后理赔所得到的保险费用于处理伤亡人员发生的直接处理费用和赔偿费。 </w:t>
      </w:r>
    </w:p>
    <w:p w14:paraId="09DA57B6">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15</w:t>
      </w:r>
      <w:r>
        <w:rPr>
          <w:rStyle w:val="39"/>
          <w:rFonts w:hint="eastAsia" w:ascii="宋体" w:hAnsi="宋体"/>
          <w:i w:val="0"/>
          <w:color w:val="auto"/>
          <w:sz w:val="24"/>
          <w:szCs w:val="24"/>
          <w:highlight w:val="none"/>
        </w:rPr>
        <w:t>)</w:t>
      </w:r>
      <w:r>
        <w:rPr>
          <w:rStyle w:val="39"/>
          <w:rFonts w:hint="eastAsia"/>
          <w:i w:val="0"/>
          <w:color w:val="auto"/>
          <w:sz w:val="24"/>
          <w:szCs w:val="24"/>
          <w:highlight w:val="none"/>
        </w:rPr>
        <w:t xml:space="preserve"> </w:t>
      </w:r>
      <w:r>
        <w:rPr>
          <w:rStyle w:val="39"/>
          <w:rFonts w:hint="eastAsia" w:ascii="宋体" w:hAnsi="宋体"/>
          <w:i w:val="0"/>
          <w:color w:val="auto"/>
          <w:sz w:val="24"/>
          <w:szCs w:val="24"/>
          <w:highlight w:val="none"/>
        </w:rPr>
        <w:t>事故发生后</w:t>
      </w:r>
      <w:r>
        <w:rPr>
          <w:rStyle w:val="39"/>
          <w:rFonts w:hint="eastAsia" w:ascii="宋体" w:hAnsi="宋体" w:eastAsia="宋体"/>
          <w:i w:val="0"/>
          <w:color w:val="auto"/>
          <w:sz w:val="24"/>
          <w:szCs w:val="24"/>
          <w:highlight w:val="none"/>
          <w:lang w:eastAsia="zh-CN"/>
        </w:rPr>
        <w:t>，</w:t>
      </w:r>
      <w:r>
        <w:rPr>
          <w:rStyle w:val="39"/>
          <w:rFonts w:hint="eastAsia" w:ascii="宋体" w:hAnsi="宋体"/>
          <w:i w:val="0"/>
          <w:color w:val="auto"/>
          <w:sz w:val="24"/>
          <w:szCs w:val="24"/>
          <w:highlight w:val="none"/>
        </w:rPr>
        <w:t>事故现场有关人员应当立即向本单位负责人报告；单位负责人接到报告后</w:t>
      </w:r>
      <w:r>
        <w:rPr>
          <w:rStyle w:val="39"/>
          <w:rFonts w:hint="eastAsia" w:ascii="宋体" w:hAnsi="宋体" w:eastAsia="宋体"/>
          <w:i w:val="0"/>
          <w:color w:val="auto"/>
          <w:sz w:val="24"/>
          <w:szCs w:val="24"/>
          <w:highlight w:val="none"/>
          <w:lang w:eastAsia="zh-CN"/>
        </w:rPr>
        <w:t>，</w:t>
      </w:r>
      <w:r>
        <w:rPr>
          <w:rStyle w:val="39"/>
          <w:rFonts w:hint="eastAsia" w:ascii="宋体" w:hAnsi="宋体"/>
          <w:i w:val="0"/>
          <w:color w:val="auto"/>
          <w:sz w:val="24"/>
          <w:szCs w:val="24"/>
          <w:highlight w:val="none"/>
        </w:rPr>
        <w:t>应当于1小时内向事故发生地县级以上人民政府安全生产监督管理部门和负有安全生产监督管理职责的有关部门报告。</w:t>
      </w:r>
      <w:r>
        <w:rPr>
          <w:rStyle w:val="39"/>
          <w:rFonts w:ascii="宋体" w:hAnsi="宋体"/>
          <w:i w:val="0"/>
          <w:color w:val="auto"/>
          <w:sz w:val="24"/>
          <w:szCs w:val="24"/>
          <w:highlight w:val="none"/>
        </w:rPr>
        <w:t>事故发生单位负责人接到事故报告后</w:t>
      </w:r>
      <w:r>
        <w:rPr>
          <w:rStyle w:val="39"/>
          <w:rFonts w:hint="eastAsia" w:ascii="宋体" w:hAnsi="宋体" w:eastAsia="宋体"/>
          <w:i w:val="0"/>
          <w:color w:val="auto"/>
          <w:sz w:val="24"/>
          <w:szCs w:val="24"/>
          <w:highlight w:val="none"/>
          <w:lang w:eastAsia="zh-CN"/>
        </w:rPr>
        <w:t>，</w:t>
      </w:r>
      <w:r>
        <w:rPr>
          <w:rStyle w:val="39"/>
          <w:rFonts w:ascii="宋体" w:hAnsi="宋体"/>
          <w:i w:val="0"/>
          <w:color w:val="auto"/>
          <w:sz w:val="24"/>
          <w:szCs w:val="24"/>
          <w:highlight w:val="none"/>
        </w:rPr>
        <w:t>应当立即启动事故相应应急预案</w:t>
      </w:r>
      <w:r>
        <w:rPr>
          <w:rStyle w:val="39"/>
          <w:rFonts w:hint="eastAsia" w:ascii="宋体" w:hAnsi="宋体" w:eastAsia="宋体"/>
          <w:i w:val="0"/>
          <w:color w:val="auto"/>
          <w:sz w:val="24"/>
          <w:szCs w:val="24"/>
          <w:highlight w:val="none"/>
          <w:lang w:eastAsia="zh-CN"/>
        </w:rPr>
        <w:t>，</w:t>
      </w:r>
      <w:r>
        <w:rPr>
          <w:rStyle w:val="39"/>
          <w:rFonts w:ascii="宋体" w:hAnsi="宋体"/>
          <w:i w:val="0"/>
          <w:color w:val="auto"/>
          <w:sz w:val="24"/>
          <w:szCs w:val="24"/>
          <w:highlight w:val="none"/>
        </w:rPr>
        <w:t>或者采取有效措施</w:t>
      </w:r>
      <w:r>
        <w:rPr>
          <w:rStyle w:val="39"/>
          <w:rFonts w:hint="eastAsia" w:ascii="宋体" w:hAnsi="宋体" w:eastAsia="宋体"/>
          <w:i w:val="0"/>
          <w:color w:val="auto"/>
          <w:sz w:val="24"/>
          <w:szCs w:val="24"/>
          <w:highlight w:val="none"/>
          <w:lang w:eastAsia="zh-CN"/>
        </w:rPr>
        <w:t>，</w:t>
      </w:r>
      <w:r>
        <w:rPr>
          <w:rStyle w:val="39"/>
          <w:rFonts w:ascii="宋体" w:hAnsi="宋体"/>
          <w:i w:val="0"/>
          <w:color w:val="auto"/>
          <w:sz w:val="24"/>
          <w:szCs w:val="24"/>
          <w:highlight w:val="none"/>
        </w:rPr>
        <w:t>组织抢救</w:t>
      </w:r>
      <w:r>
        <w:rPr>
          <w:rStyle w:val="39"/>
          <w:rFonts w:hint="eastAsia" w:ascii="宋体" w:hAnsi="宋体" w:eastAsia="宋体"/>
          <w:i w:val="0"/>
          <w:color w:val="auto"/>
          <w:sz w:val="24"/>
          <w:szCs w:val="24"/>
          <w:highlight w:val="none"/>
          <w:lang w:eastAsia="zh-CN"/>
        </w:rPr>
        <w:t>，</w:t>
      </w:r>
      <w:r>
        <w:rPr>
          <w:rStyle w:val="39"/>
          <w:rFonts w:ascii="宋体" w:hAnsi="宋体"/>
          <w:i w:val="0"/>
          <w:color w:val="auto"/>
          <w:sz w:val="24"/>
          <w:szCs w:val="24"/>
          <w:highlight w:val="none"/>
        </w:rPr>
        <w:t>防止事故扩大</w:t>
      </w:r>
      <w:r>
        <w:rPr>
          <w:rStyle w:val="39"/>
          <w:rFonts w:hint="eastAsia" w:ascii="宋体" w:hAnsi="宋体" w:eastAsia="宋体"/>
          <w:i w:val="0"/>
          <w:color w:val="auto"/>
          <w:sz w:val="24"/>
          <w:szCs w:val="24"/>
          <w:highlight w:val="none"/>
          <w:lang w:eastAsia="zh-CN"/>
        </w:rPr>
        <w:t>，</w:t>
      </w:r>
      <w:r>
        <w:rPr>
          <w:rStyle w:val="39"/>
          <w:rFonts w:ascii="宋体" w:hAnsi="宋体"/>
          <w:i w:val="0"/>
          <w:color w:val="auto"/>
          <w:sz w:val="24"/>
          <w:szCs w:val="24"/>
          <w:highlight w:val="none"/>
        </w:rPr>
        <w:t>减少人员伤亡和财产损失。事故发生后</w:t>
      </w:r>
      <w:r>
        <w:rPr>
          <w:rStyle w:val="39"/>
          <w:rFonts w:hint="eastAsia" w:ascii="宋体" w:hAnsi="宋体" w:eastAsia="宋体"/>
          <w:i w:val="0"/>
          <w:color w:val="auto"/>
          <w:sz w:val="24"/>
          <w:szCs w:val="24"/>
          <w:highlight w:val="none"/>
          <w:lang w:eastAsia="zh-CN"/>
        </w:rPr>
        <w:t>，</w:t>
      </w:r>
      <w:r>
        <w:rPr>
          <w:rStyle w:val="39"/>
          <w:rFonts w:ascii="宋体" w:hAnsi="宋体"/>
          <w:i w:val="0"/>
          <w:color w:val="auto"/>
          <w:sz w:val="24"/>
          <w:szCs w:val="24"/>
          <w:highlight w:val="none"/>
        </w:rPr>
        <w:t>有关单位和人员应当妥善保护事故现场以及相关证据</w:t>
      </w:r>
      <w:r>
        <w:rPr>
          <w:rStyle w:val="39"/>
          <w:rFonts w:hint="eastAsia" w:ascii="宋体" w:hAnsi="宋体" w:eastAsia="宋体"/>
          <w:i w:val="0"/>
          <w:color w:val="auto"/>
          <w:sz w:val="24"/>
          <w:szCs w:val="24"/>
          <w:highlight w:val="none"/>
          <w:lang w:eastAsia="zh-CN"/>
        </w:rPr>
        <w:t>，</w:t>
      </w:r>
      <w:r>
        <w:rPr>
          <w:rStyle w:val="39"/>
          <w:rFonts w:ascii="宋体" w:hAnsi="宋体"/>
          <w:i w:val="0"/>
          <w:color w:val="auto"/>
          <w:sz w:val="24"/>
          <w:szCs w:val="24"/>
          <w:highlight w:val="none"/>
        </w:rPr>
        <w:t>任何单位和个人不得破坏事故现场、毁灭相关证据。</w:t>
      </w:r>
      <w:r>
        <w:rPr>
          <w:rStyle w:val="39"/>
          <w:rFonts w:hint="eastAsia" w:ascii="宋体" w:hAnsi="宋体"/>
          <w:i w:val="0"/>
          <w:color w:val="auto"/>
          <w:sz w:val="24"/>
          <w:szCs w:val="24"/>
          <w:highlight w:val="none"/>
        </w:rPr>
        <w:t xml:space="preserve"> </w:t>
      </w:r>
    </w:p>
    <w:p w14:paraId="7968E35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16</w:t>
      </w:r>
      <w:r>
        <w:rPr>
          <w:rStyle w:val="39"/>
          <w:rFonts w:hint="eastAsia" w:ascii="宋体" w:hAnsi="宋体"/>
          <w:i w:val="0"/>
          <w:color w:val="auto"/>
          <w:sz w:val="24"/>
          <w:szCs w:val="24"/>
          <w:highlight w:val="none"/>
        </w:rPr>
        <w:t xml:space="preserve">)如果发生因工伤亡事故，乙方负责伤亡者所有善后工作，因此发生的费用由乙方先行支付，待事故调查清楚后由责任方支付。 </w:t>
      </w:r>
    </w:p>
    <w:p w14:paraId="4FC975E6">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17</w:t>
      </w:r>
      <w:r>
        <w:rPr>
          <w:rStyle w:val="39"/>
          <w:rFonts w:hint="eastAsia" w:ascii="宋体" w:hAnsi="宋体"/>
          <w:i w:val="0"/>
          <w:color w:val="auto"/>
          <w:sz w:val="24"/>
          <w:szCs w:val="24"/>
          <w:highlight w:val="none"/>
        </w:rPr>
        <w:t xml:space="preserve">)乙方所收甲方工程款或劳务费中已包含乙方作业人员购买工伤保险及作业过程中劳动防护用品等相关费用。 </w:t>
      </w:r>
    </w:p>
    <w:p w14:paraId="186E35A0">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18</w:t>
      </w:r>
      <w:r>
        <w:rPr>
          <w:rStyle w:val="39"/>
          <w:rFonts w:hint="eastAsia" w:ascii="宋体" w:hAnsi="宋体"/>
          <w:i w:val="0"/>
          <w:color w:val="auto"/>
          <w:sz w:val="24"/>
          <w:szCs w:val="24"/>
          <w:highlight w:val="none"/>
        </w:rPr>
        <w:t xml:space="preserve">)乙方承诺所管辖的从业人员遵守甲方相关安全管理规定，接受甲方的监督检查及考核。 </w:t>
      </w:r>
    </w:p>
    <w:p w14:paraId="39398FC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19</w:t>
      </w:r>
      <w:r>
        <w:rPr>
          <w:rStyle w:val="39"/>
          <w:rFonts w:hint="eastAsia" w:ascii="宋体" w:hAnsi="宋体"/>
          <w:i w:val="0"/>
          <w:color w:val="auto"/>
          <w:sz w:val="24"/>
          <w:szCs w:val="24"/>
          <w:highlight w:val="none"/>
        </w:rPr>
        <w:t xml:space="preserve">)乙方从业人员只允许在施工区域范围内进行作业活动，严禁进入甲方厂区其它生产区域（根据施工需要，乙方必须进入的甲方区域除外）。 </w:t>
      </w:r>
    </w:p>
    <w:p w14:paraId="50CF12E1">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20</w:t>
      </w:r>
      <w:r>
        <w:rPr>
          <w:rStyle w:val="39"/>
          <w:rFonts w:hint="eastAsia" w:ascii="宋体" w:hAnsi="宋体"/>
          <w:i w:val="0"/>
          <w:color w:val="auto"/>
          <w:sz w:val="24"/>
          <w:szCs w:val="24"/>
          <w:highlight w:val="none"/>
        </w:rPr>
        <w:t>)乙方在进行工作（项目）前，必须严格按施工方案或现场技术交底进行施工，施工前需对相关进前作业条件确认，经甲方相关人员现场确认后方可作业。 （补充确认事项）</w:t>
      </w:r>
    </w:p>
    <w:p w14:paraId="054038B2">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21</w:t>
      </w:r>
      <w:r>
        <w:rPr>
          <w:rStyle w:val="39"/>
          <w:rFonts w:hint="eastAsia" w:ascii="宋体" w:hAnsi="宋体"/>
          <w:i w:val="0"/>
          <w:color w:val="auto"/>
          <w:sz w:val="24"/>
          <w:szCs w:val="24"/>
          <w:highlight w:val="none"/>
        </w:rPr>
        <w:t xml:space="preserve">)乙方作业过程中，必须服从甲方统一协调。 </w:t>
      </w:r>
    </w:p>
    <w:p w14:paraId="7C93B65A">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22</w:t>
      </w:r>
      <w:r>
        <w:rPr>
          <w:rStyle w:val="39"/>
          <w:rFonts w:hint="eastAsia" w:ascii="宋体" w:hAnsi="宋体"/>
          <w:i w:val="0"/>
          <w:color w:val="auto"/>
          <w:sz w:val="24"/>
          <w:szCs w:val="24"/>
          <w:highlight w:val="none"/>
        </w:rPr>
        <w:t>)合同履行过程中，乙方对乙方所有进入甲方（公司）人员、行为及整个作业过程等负责，负主体责任。</w:t>
      </w:r>
    </w:p>
    <w:p w14:paraId="6E330808">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23</w:t>
      </w:r>
      <w:r>
        <w:rPr>
          <w:rStyle w:val="39"/>
          <w:rFonts w:hint="eastAsia" w:ascii="宋体" w:hAnsi="宋体"/>
          <w:i w:val="0"/>
          <w:color w:val="auto"/>
          <w:sz w:val="24"/>
          <w:szCs w:val="24"/>
          <w:highlight w:val="none"/>
        </w:rPr>
        <w:t>)针对甲方提出的事故隐患整改项目，在规定时间内完成整改，未完成按照相应的规章制度进行考核。（不严谨）</w:t>
      </w:r>
    </w:p>
    <w:p w14:paraId="6915FD26">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24</w:t>
      </w:r>
      <w:r>
        <w:rPr>
          <w:rStyle w:val="39"/>
          <w:rFonts w:hint="eastAsia" w:ascii="宋体" w:hAnsi="宋体"/>
          <w:i w:val="0"/>
          <w:color w:val="auto"/>
          <w:sz w:val="24"/>
          <w:szCs w:val="24"/>
          <w:highlight w:val="none"/>
        </w:rPr>
        <w:t>)未尽事宜，必须遵照国家相关法律法规规定执行。</w:t>
      </w:r>
    </w:p>
    <w:p w14:paraId="3A3796AC">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第八条  安全风险抵押金管理和使用</w:t>
      </w:r>
    </w:p>
    <w:p w14:paraId="5057E6F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1.根据</w:t>
      </w:r>
      <w:r>
        <w:rPr>
          <w:rStyle w:val="39"/>
          <w:rFonts w:hint="eastAsia" w:ascii="宋体" w:hAnsi="宋体"/>
          <w:i w:val="0"/>
          <w:color w:val="auto"/>
          <w:sz w:val="24"/>
          <w:szCs w:val="24"/>
          <w:highlight w:val="none"/>
          <w:lang w:eastAsia="zh-CN"/>
        </w:rPr>
        <w:t>浙江巨化化工矿业有限公司</w:t>
      </w:r>
      <w:r>
        <w:rPr>
          <w:rStyle w:val="39"/>
          <w:rFonts w:hint="eastAsia" w:ascii="宋体" w:hAnsi="宋体"/>
          <w:i w:val="0"/>
          <w:color w:val="auto"/>
          <w:sz w:val="24"/>
          <w:szCs w:val="24"/>
          <w:highlight w:val="none"/>
        </w:rPr>
        <w:t>《承包商、供应商安全管理制度》规定，工程量在20万元以上的外委单位，安全生产风险抵押金缴纳按照承担工程款2％进行缴纳，最低安全生产风险抵押金缴纳不能低于200万元。</w:t>
      </w:r>
    </w:p>
    <w:p w14:paraId="15E6D7A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2.根据</w:t>
      </w:r>
      <w:r>
        <w:rPr>
          <w:rStyle w:val="39"/>
          <w:rFonts w:hint="eastAsia" w:ascii="宋体" w:hAnsi="宋体"/>
          <w:i w:val="0"/>
          <w:color w:val="auto"/>
          <w:sz w:val="24"/>
          <w:szCs w:val="24"/>
          <w:highlight w:val="none"/>
          <w:lang w:eastAsia="zh-CN"/>
        </w:rPr>
        <w:t>浙江巨化化工矿业有限公司</w:t>
      </w:r>
      <w:r>
        <w:rPr>
          <w:rStyle w:val="39"/>
          <w:rFonts w:hint="eastAsia" w:ascii="宋体" w:hAnsi="宋体"/>
          <w:i w:val="0"/>
          <w:color w:val="auto"/>
          <w:sz w:val="24"/>
          <w:szCs w:val="24"/>
          <w:highlight w:val="none"/>
        </w:rPr>
        <w:t>《承包商、供应商安全管理制度》的规定要求，乙方需向甲方交纳安全生产保证金200万元，经双方协商，同意乙方以购买</w:t>
      </w:r>
      <w:r>
        <w:rPr>
          <w:rStyle w:val="39"/>
          <w:rFonts w:ascii="宋体" w:hAnsi="宋体"/>
          <w:i w:val="0"/>
          <w:color w:val="auto"/>
          <w:sz w:val="24"/>
          <w:szCs w:val="24"/>
          <w:highlight w:val="none"/>
        </w:rPr>
        <w:t>安全生产责任险的形式提供，</w:t>
      </w:r>
      <w:r>
        <w:rPr>
          <w:rStyle w:val="39"/>
          <w:rFonts w:hint="eastAsia" w:ascii="宋体" w:hAnsi="宋体"/>
          <w:i w:val="0"/>
          <w:color w:val="auto"/>
          <w:sz w:val="24"/>
          <w:szCs w:val="24"/>
          <w:highlight w:val="none"/>
        </w:rPr>
        <w:t>具体保费及赔付金额等</w:t>
      </w:r>
      <w:r>
        <w:rPr>
          <w:rStyle w:val="39"/>
          <w:rFonts w:ascii="宋体" w:hAnsi="宋体"/>
          <w:i w:val="0"/>
          <w:color w:val="auto"/>
          <w:sz w:val="24"/>
          <w:szCs w:val="24"/>
          <w:highlight w:val="none"/>
        </w:rPr>
        <w:t>详见附件材料</w:t>
      </w:r>
      <w:r>
        <w:rPr>
          <w:rStyle w:val="39"/>
          <w:rFonts w:hint="eastAsia" w:ascii="宋体" w:hAnsi="宋体"/>
          <w:i w:val="0"/>
          <w:color w:val="auto"/>
          <w:sz w:val="24"/>
          <w:szCs w:val="24"/>
          <w:highlight w:val="none"/>
        </w:rPr>
        <w:t>）。</w:t>
      </w:r>
    </w:p>
    <w:p w14:paraId="70E20C5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3.乙方施工过程中发生事故，需要使用安全生产责任险进行理赔前，应以书面形式报甲方同意，超出费用甲方（公司）有权直接从合同总费用中直接扣除或列支。</w:t>
      </w:r>
    </w:p>
    <w:p w14:paraId="4DE7614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4.在作业过程中如出现安全事故造成甲乙双方或其中任何一方的人员、财产损伤，甲乙双方承诺遵照以下原则处理： </w:t>
      </w:r>
    </w:p>
    <w:p w14:paraId="7DDD166A">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w:t>
      </w:r>
      <w:r>
        <w:rPr>
          <w:rStyle w:val="39"/>
          <w:rFonts w:hint="eastAsia" w:ascii="宋体" w:hAnsi="宋体"/>
          <w:i w:val="0"/>
          <w:color w:val="auto"/>
          <w:sz w:val="24"/>
          <w:szCs w:val="24"/>
          <w:highlight w:val="none"/>
        </w:rPr>
        <w:t xml:space="preserve">)如事故为甲乙双方中单独一方所造成，并给另一方造成损失，责任方应负责赔偿另一方的一切损失。 </w:t>
      </w:r>
    </w:p>
    <w:p w14:paraId="1D10E4FA">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w:t>
      </w:r>
      <w:r>
        <w:rPr>
          <w:rStyle w:val="39"/>
          <w:rFonts w:hint="eastAsia" w:ascii="宋体" w:hAnsi="宋体"/>
          <w:i w:val="0"/>
          <w:color w:val="auto"/>
          <w:sz w:val="24"/>
          <w:szCs w:val="24"/>
          <w:highlight w:val="none"/>
        </w:rPr>
        <w:t xml:space="preserve">)如甲乙双方均对所发生的事故负有责任，则按甲乙双方对事故所应承担的责任的大小进行赔偿。 </w:t>
      </w:r>
    </w:p>
    <w:p w14:paraId="2F213C3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3</w:t>
      </w:r>
      <w:r>
        <w:rPr>
          <w:rStyle w:val="39"/>
          <w:rFonts w:hint="eastAsia" w:ascii="宋体" w:hAnsi="宋体"/>
          <w:i w:val="0"/>
          <w:color w:val="auto"/>
          <w:sz w:val="24"/>
          <w:szCs w:val="24"/>
          <w:highlight w:val="none"/>
        </w:rPr>
        <w:t xml:space="preserve">)如在作业过程中出现本协议范围以外的事件，由甲乙双方协商解决。 </w:t>
      </w:r>
    </w:p>
    <w:p w14:paraId="246060C3">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5.其它未尽事宜，由甲乙双方协商解决。 </w:t>
      </w:r>
    </w:p>
    <w:p w14:paraId="7C45DB5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第九条 违约责任 </w:t>
      </w:r>
    </w:p>
    <w:p w14:paraId="4EB286A1">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甲乙双方遵守《办法》及其他法律、法规、规章规定的义务，并享有相应的权利。 </w:t>
      </w:r>
    </w:p>
    <w:p w14:paraId="521E74C1">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w:t>
      </w:r>
      <w:r>
        <w:rPr>
          <w:rStyle w:val="39"/>
          <w:rFonts w:ascii="宋体" w:hAnsi="宋体"/>
          <w:i w:val="0"/>
          <w:color w:val="auto"/>
          <w:sz w:val="24"/>
          <w:szCs w:val="24"/>
          <w:highlight w:val="none"/>
        </w:rPr>
        <w:t>.</w:t>
      </w:r>
      <w:r>
        <w:rPr>
          <w:rStyle w:val="39"/>
          <w:rFonts w:hint="eastAsia" w:ascii="宋体" w:hAnsi="宋体"/>
          <w:i w:val="0"/>
          <w:color w:val="auto"/>
          <w:sz w:val="24"/>
          <w:szCs w:val="24"/>
          <w:highlight w:val="none"/>
        </w:rPr>
        <w:t xml:space="preserve">甲方违约。 </w:t>
      </w:r>
    </w:p>
    <w:p w14:paraId="35671347">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当发生下列情况之一的，甲方承担违约责任，依法赔偿给乙方造成的经济损失；因违约造成生产安全事故的，按照相关法律、法规、规章的规定，甲方依法承担相应责任： </w:t>
      </w:r>
    </w:p>
    <w:p w14:paraId="4D726D13">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w:t>
      </w:r>
      <w:r>
        <w:rPr>
          <w:rStyle w:val="39"/>
          <w:rFonts w:hint="eastAsia" w:ascii="宋体" w:hAnsi="宋体"/>
          <w:i w:val="0"/>
          <w:color w:val="auto"/>
          <w:sz w:val="24"/>
          <w:szCs w:val="24"/>
          <w:highlight w:val="none"/>
        </w:rPr>
        <w:t xml:space="preserve">)甲方擅自压缩工程合同约定的工期，违章指挥或者强令乙方及其从业人员冒险作业的； </w:t>
      </w:r>
    </w:p>
    <w:p w14:paraId="0BF8614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w:t>
      </w:r>
      <w:r>
        <w:rPr>
          <w:rStyle w:val="39"/>
          <w:rFonts w:hint="eastAsia" w:ascii="宋体" w:hAnsi="宋体"/>
          <w:i w:val="0"/>
          <w:color w:val="auto"/>
          <w:sz w:val="24"/>
          <w:szCs w:val="24"/>
          <w:highlight w:val="none"/>
        </w:rPr>
        <w:t xml:space="preserve">)甲方未提供工程施工作业所必要的图纸资料，未向乙方进行技术交底的； </w:t>
      </w:r>
    </w:p>
    <w:p w14:paraId="302097E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3</w:t>
      </w:r>
      <w:r>
        <w:rPr>
          <w:rStyle w:val="39"/>
          <w:rFonts w:hint="eastAsia" w:ascii="宋体" w:hAnsi="宋体"/>
          <w:i w:val="0"/>
          <w:color w:val="auto"/>
          <w:sz w:val="24"/>
          <w:szCs w:val="24"/>
          <w:highlight w:val="none"/>
        </w:rPr>
        <w:t xml:space="preserve">)甲方不能提供合法的外包工程项目的； </w:t>
      </w:r>
    </w:p>
    <w:p w14:paraId="52EB952D">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4</w:t>
      </w:r>
      <w:r>
        <w:rPr>
          <w:rStyle w:val="39"/>
          <w:rFonts w:hint="eastAsia" w:ascii="宋体" w:hAnsi="宋体"/>
          <w:i w:val="0"/>
          <w:color w:val="auto"/>
          <w:sz w:val="24"/>
          <w:szCs w:val="24"/>
          <w:highlight w:val="none"/>
        </w:rPr>
        <w:t xml:space="preserve">)甲方不能保证与外包工程有关的生产系统安全设施正常运行的； </w:t>
      </w:r>
    </w:p>
    <w:p w14:paraId="47B9ABC7">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5</w:t>
      </w:r>
      <w:r>
        <w:rPr>
          <w:rStyle w:val="39"/>
          <w:rFonts w:hint="eastAsia" w:ascii="宋体" w:hAnsi="宋体"/>
          <w:i w:val="0"/>
          <w:color w:val="auto"/>
          <w:sz w:val="24"/>
          <w:szCs w:val="24"/>
          <w:highlight w:val="none"/>
        </w:rPr>
        <w:t xml:space="preserve">)甲方违反工程设计安排乙方施工作业的； </w:t>
      </w:r>
    </w:p>
    <w:p w14:paraId="6583A98E">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6</w:t>
      </w:r>
      <w:r>
        <w:rPr>
          <w:rStyle w:val="39"/>
          <w:rFonts w:hint="eastAsia" w:ascii="宋体" w:hAnsi="宋体"/>
          <w:i w:val="0"/>
          <w:color w:val="auto"/>
          <w:sz w:val="24"/>
          <w:szCs w:val="24"/>
          <w:highlight w:val="none"/>
        </w:rPr>
        <w:t xml:space="preserve">)甲方未按照合同或者协议约定支付应当由甲方承担的工程安全生产费用的； </w:t>
      </w:r>
    </w:p>
    <w:p w14:paraId="570222A8">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7</w:t>
      </w:r>
      <w:r>
        <w:rPr>
          <w:rStyle w:val="39"/>
          <w:rFonts w:hint="eastAsia" w:ascii="宋体" w:hAnsi="宋体"/>
          <w:i w:val="0"/>
          <w:color w:val="auto"/>
          <w:sz w:val="24"/>
          <w:szCs w:val="24"/>
          <w:highlight w:val="none"/>
        </w:rPr>
        <w:t xml:space="preserve">)发生事故后，甲方未及时组织开展应急救援工作的； </w:t>
      </w:r>
    </w:p>
    <w:p w14:paraId="0A18F03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8</w:t>
      </w:r>
      <w:r>
        <w:rPr>
          <w:rStyle w:val="39"/>
          <w:rFonts w:hint="eastAsia" w:ascii="宋体" w:hAnsi="宋体"/>
          <w:i w:val="0"/>
          <w:color w:val="auto"/>
          <w:sz w:val="24"/>
          <w:szCs w:val="24"/>
          <w:highlight w:val="none"/>
        </w:rPr>
        <w:t xml:space="preserve">)甲方不履行协议义务或不按协议约定履行义务的其他情况。 </w:t>
      </w:r>
    </w:p>
    <w:p w14:paraId="5C428A59">
      <w:pPr>
        <w:spacing w:line="360" w:lineRule="auto"/>
        <w:ind w:firstLine="480" w:firstLineChars="200"/>
        <w:rPr>
          <w:rStyle w:val="39"/>
          <w:rFonts w:ascii="宋体" w:hAnsi="宋体"/>
          <w:i w:val="0"/>
          <w:color w:val="auto"/>
          <w:sz w:val="24"/>
          <w:szCs w:val="24"/>
          <w:highlight w:val="none"/>
        </w:rPr>
      </w:pPr>
      <w:r>
        <w:rPr>
          <w:rStyle w:val="39"/>
          <w:rFonts w:ascii="宋体" w:hAnsi="宋体"/>
          <w:i w:val="0"/>
          <w:color w:val="auto"/>
          <w:sz w:val="24"/>
          <w:szCs w:val="24"/>
          <w:highlight w:val="none"/>
        </w:rPr>
        <w:t>3.</w:t>
      </w:r>
      <w:r>
        <w:rPr>
          <w:rStyle w:val="39"/>
          <w:rFonts w:hint="eastAsia" w:ascii="宋体" w:hAnsi="宋体"/>
          <w:i w:val="0"/>
          <w:color w:val="auto"/>
          <w:sz w:val="24"/>
          <w:szCs w:val="24"/>
          <w:highlight w:val="none"/>
        </w:rPr>
        <w:t xml:space="preserve">乙方违约。 </w:t>
      </w:r>
    </w:p>
    <w:p w14:paraId="34BC33CA">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当发生下列情况之一的，乙方承担违约责任，依法赔偿给甲方造成的损失；因违约造成生产安全事故的，按照相关法律、法规、规章的规定，乙方依法承担相应责任： </w:t>
      </w:r>
    </w:p>
    <w:p w14:paraId="0C160A3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1</w:t>
      </w:r>
      <w:r>
        <w:rPr>
          <w:rStyle w:val="39"/>
          <w:rFonts w:hint="eastAsia" w:ascii="宋体" w:hAnsi="宋体"/>
          <w:i w:val="0"/>
          <w:color w:val="auto"/>
          <w:sz w:val="24"/>
          <w:szCs w:val="24"/>
          <w:highlight w:val="none"/>
        </w:rPr>
        <w:t xml:space="preserve">)乙方未按照合同或者协议约定将甲方提供的安全生产费用落实到位、专款专用的； </w:t>
      </w:r>
    </w:p>
    <w:p w14:paraId="2DABCC7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2</w:t>
      </w:r>
      <w:r>
        <w:rPr>
          <w:rStyle w:val="39"/>
          <w:rFonts w:hint="eastAsia" w:ascii="宋体" w:hAnsi="宋体"/>
          <w:i w:val="0"/>
          <w:color w:val="auto"/>
          <w:sz w:val="24"/>
          <w:szCs w:val="24"/>
          <w:highlight w:val="none"/>
        </w:rPr>
        <w:t xml:space="preserve">)乙方不能保证与承揽工程规模相匹配的施工资质、技术人员、特种作业人员和设备设施的； </w:t>
      </w:r>
    </w:p>
    <w:p w14:paraId="7CDF04E9">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3</w:t>
      </w:r>
      <w:r>
        <w:rPr>
          <w:rStyle w:val="39"/>
          <w:rFonts w:hint="eastAsia" w:ascii="宋体" w:hAnsi="宋体"/>
          <w:i w:val="0"/>
          <w:color w:val="auto"/>
          <w:sz w:val="24"/>
          <w:szCs w:val="24"/>
          <w:highlight w:val="none"/>
        </w:rPr>
        <w:t xml:space="preserve">)乙方有关资质、证照已过期的，或者安排证件已过期的各类应持证人员上岗作业的； </w:t>
      </w:r>
    </w:p>
    <w:p w14:paraId="275AE06B">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4</w:t>
      </w:r>
      <w:r>
        <w:rPr>
          <w:rStyle w:val="39"/>
          <w:rFonts w:hint="eastAsia" w:ascii="宋体" w:hAnsi="宋体"/>
          <w:i w:val="0"/>
          <w:color w:val="auto"/>
          <w:sz w:val="24"/>
          <w:szCs w:val="24"/>
          <w:highlight w:val="none"/>
        </w:rPr>
        <w:t>)乙方人员违章指挥或者违章作业的； 因乙方管理或操作不当产生的安全隐患或安全事故，每发现一起，乙方承担违约金5000元，并赔偿相应的经济损失，违约金和赔偿金从进度款中扣除；</w:t>
      </w:r>
    </w:p>
    <w:p w14:paraId="3054A8C8">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5</w:t>
      </w:r>
      <w:r>
        <w:rPr>
          <w:rStyle w:val="39"/>
          <w:rFonts w:hint="eastAsia" w:ascii="宋体" w:hAnsi="宋体"/>
          <w:i w:val="0"/>
          <w:color w:val="auto"/>
          <w:sz w:val="24"/>
          <w:szCs w:val="24"/>
          <w:highlight w:val="none"/>
        </w:rPr>
        <w:t xml:space="preserve">)乙方现场安全管理不到位的； </w:t>
      </w:r>
    </w:p>
    <w:p w14:paraId="0774D2E0">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6</w:t>
      </w:r>
      <w:r>
        <w:rPr>
          <w:rStyle w:val="39"/>
          <w:rFonts w:hint="eastAsia" w:ascii="宋体" w:hAnsi="宋体"/>
          <w:i w:val="0"/>
          <w:color w:val="auto"/>
          <w:sz w:val="24"/>
          <w:szCs w:val="24"/>
          <w:highlight w:val="none"/>
        </w:rPr>
        <w:t xml:space="preserve">)发生事故后，乙方未及时开展应急救援工作的； </w:t>
      </w:r>
    </w:p>
    <w:p w14:paraId="2C4D780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7</w:t>
      </w:r>
      <w:r>
        <w:rPr>
          <w:rStyle w:val="39"/>
          <w:rFonts w:hint="eastAsia" w:ascii="宋体" w:hAnsi="宋体"/>
          <w:i w:val="0"/>
          <w:color w:val="auto"/>
          <w:sz w:val="24"/>
          <w:szCs w:val="24"/>
          <w:highlight w:val="none"/>
        </w:rPr>
        <w:t xml:space="preserve">)乙方不履行协议义务或者未按协议约定履行义务的其他情况。 </w:t>
      </w:r>
    </w:p>
    <w:p w14:paraId="0AA39F4E">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w:t>
      </w:r>
      <w:r>
        <w:rPr>
          <w:rStyle w:val="39"/>
          <w:rFonts w:ascii="宋体" w:hAnsi="宋体"/>
          <w:i w:val="0"/>
          <w:color w:val="auto"/>
          <w:sz w:val="24"/>
          <w:szCs w:val="24"/>
          <w:highlight w:val="none"/>
        </w:rPr>
        <w:t>8</w:t>
      </w:r>
      <w:r>
        <w:rPr>
          <w:rStyle w:val="39"/>
          <w:rFonts w:hint="eastAsia" w:ascii="宋体" w:hAnsi="宋体"/>
          <w:i w:val="0"/>
          <w:color w:val="auto"/>
          <w:sz w:val="24"/>
          <w:szCs w:val="24"/>
          <w:highlight w:val="none"/>
        </w:rPr>
        <w:t>)本协议履行期间，若因乙方违约行为发生安全事故，乙方按所签订的相关业务合同结算金额的2%承担违约金。并赔偿因安全事故所造成的全部经济损失。因乙方违约而发生的违约金和赔偿金，甲方可在应付乙方的相关款中予以扣减。</w:t>
      </w:r>
    </w:p>
    <w:p w14:paraId="0B6EE0E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第十条 补充条款 </w:t>
      </w:r>
    </w:p>
    <w:p w14:paraId="44E89E8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甲乙双方在遵守有关法律、法规、规章和标准的前提下，结合工程施工实际，经协商一致后，可 对以上条款内容进行补充但不得相悖，补充条款与本协议其他条款具有同等法律效力。 </w:t>
      </w:r>
    </w:p>
    <w:p w14:paraId="484326B4">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第十一条  附则</w:t>
      </w:r>
    </w:p>
    <w:p w14:paraId="47273D8F">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1.本协议与双方所签订的相关业务主合同具有同等法律效力。</w:t>
      </w:r>
    </w:p>
    <w:p w14:paraId="4BCA97A8">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2.本协议有效期：202</w:t>
      </w:r>
      <w:r>
        <w:rPr>
          <w:rStyle w:val="39"/>
          <w:rFonts w:hint="eastAsia" w:ascii="宋体" w:hAnsi="宋体"/>
          <w:i w:val="0"/>
          <w:color w:val="auto"/>
          <w:sz w:val="24"/>
          <w:szCs w:val="24"/>
          <w:highlight w:val="none"/>
          <w:lang w:val="en-US" w:eastAsia="zh-CN"/>
        </w:rPr>
        <w:t>5</w:t>
      </w:r>
      <w:r>
        <w:rPr>
          <w:rStyle w:val="39"/>
          <w:rFonts w:hint="eastAsia" w:ascii="宋体" w:hAnsi="宋体"/>
          <w:i w:val="0"/>
          <w:color w:val="auto"/>
          <w:sz w:val="24"/>
          <w:szCs w:val="24"/>
          <w:highlight w:val="none"/>
        </w:rPr>
        <w:t>年</w:t>
      </w:r>
      <w:r>
        <w:rPr>
          <w:rStyle w:val="39"/>
          <w:rFonts w:hint="eastAsia" w:ascii="宋体" w:hAnsi="宋体"/>
          <w:i w:val="0"/>
          <w:color w:val="auto"/>
          <w:sz w:val="24"/>
          <w:szCs w:val="24"/>
          <w:highlight w:val="none"/>
          <w:u w:val="single"/>
        </w:rPr>
        <w:t xml:space="preserve">   </w:t>
      </w:r>
      <w:r>
        <w:rPr>
          <w:rStyle w:val="39"/>
          <w:rFonts w:hint="eastAsia" w:ascii="宋体" w:hAnsi="宋体"/>
          <w:i w:val="0"/>
          <w:color w:val="auto"/>
          <w:sz w:val="24"/>
          <w:szCs w:val="24"/>
          <w:highlight w:val="none"/>
        </w:rPr>
        <w:t>月</w:t>
      </w:r>
      <w:r>
        <w:rPr>
          <w:rStyle w:val="39"/>
          <w:rFonts w:hint="eastAsia" w:ascii="宋体" w:hAnsi="宋体"/>
          <w:i w:val="0"/>
          <w:color w:val="auto"/>
          <w:sz w:val="24"/>
          <w:szCs w:val="24"/>
          <w:highlight w:val="none"/>
          <w:u w:val="single"/>
        </w:rPr>
        <w:t xml:space="preserve">   </w:t>
      </w:r>
      <w:r>
        <w:rPr>
          <w:rStyle w:val="39"/>
          <w:rFonts w:hint="eastAsia" w:ascii="宋体" w:hAnsi="宋体"/>
          <w:i w:val="0"/>
          <w:color w:val="auto"/>
          <w:sz w:val="24"/>
          <w:szCs w:val="24"/>
          <w:highlight w:val="none"/>
        </w:rPr>
        <w:t>日至202</w:t>
      </w:r>
      <w:r>
        <w:rPr>
          <w:rStyle w:val="39"/>
          <w:rFonts w:hint="eastAsia" w:ascii="宋体" w:hAnsi="宋体"/>
          <w:i w:val="0"/>
          <w:color w:val="auto"/>
          <w:sz w:val="24"/>
          <w:szCs w:val="24"/>
          <w:highlight w:val="none"/>
          <w:lang w:val="en-US" w:eastAsia="zh-CN"/>
        </w:rPr>
        <w:t>5</w:t>
      </w:r>
      <w:r>
        <w:rPr>
          <w:rStyle w:val="39"/>
          <w:rFonts w:hint="eastAsia" w:ascii="宋体" w:hAnsi="宋体"/>
          <w:i w:val="0"/>
          <w:color w:val="auto"/>
          <w:sz w:val="24"/>
          <w:szCs w:val="24"/>
          <w:highlight w:val="none"/>
        </w:rPr>
        <w:t>年</w:t>
      </w:r>
      <w:r>
        <w:rPr>
          <w:rStyle w:val="39"/>
          <w:rFonts w:hint="eastAsia" w:ascii="宋体" w:hAnsi="宋体"/>
          <w:i w:val="0"/>
          <w:color w:val="auto"/>
          <w:sz w:val="24"/>
          <w:szCs w:val="24"/>
          <w:highlight w:val="none"/>
          <w:u w:val="single"/>
        </w:rPr>
        <w:t xml:space="preserve">   </w:t>
      </w:r>
      <w:r>
        <w:rPr>
          <w:rStyle w:val="39"/>
          <w:rFonts w:hint="eastAsia" w:ascii="宋体" w:hAnsi="宋体"/>
          <w:i w:val="0"/>
          <w:color w:val="auto"/>
          <w:sz w:val="24"/>
          <w:szCs w:val="24"/>
          <w:highlight w:val="none"/>
        </w:rPr>
        <w:t>月</w:t>
      </w:r>
      <w:r>
        <w:rPr>
          <w:rStyle w:val="39"/>
          <w:rFonts w:hint="eastAsia" w:ascii="宋体" w:hAnsi="宋体"/>
          <w:i w:val="0"/>
          <w:color w:val="auto"/>
          <w:sz w:val="24"/>
          <w:szCs w:val="24"/>
          <w:highlight w:val="none"/>
          <w:u w:val="single"/>
        </w:rPr>
        <w:t xml:space="preserve">   </w:t>
      </w:r>
      <w:r>
        <w:rPr>
          <w:rStyle w:val="39"/>
          <w:rFonts w:hint="eastAsia" w:ascii="宋体" w:hAnsi="宋体"/>
          <w:i w:val="0"/>
          <w:color w:val="auto"/>
          <w:sz w:val="24"/>
          <w:szCs w:val="24"/>
          <w:highlight w:val="none"/>
        </w:rPr>
        <w:t>日止。</w:t>
      </w:r>
    </w:p>
    <w:p w14:paraId="371DBE46">
      <w:pPr>
        <w:spacing w:line="360" w:lineRule="auto"/>
        <w:ind w:firstLine="480" w:firstLineChars="200"/>
        <w:rPr>
          <w:rStyle w:val="39"/>
          <w:rFonts w:ascii="宋体" w:hAnsi="宋体"/>
          <w:i w:val="0"/>
          <w:color w:val="auto"/>
          <w:sz w:val="24"/>
          <w:szCs w:val="24"/>
          <w:highlight w:val="none"/>
        </w:rPr>
      </w:pPr>
      <w:r>
        <w:rPr>
          <w:rStyle w:val="39"/>
          <w:rFonts w:hint="eastAsia" w:ascii="宋体" w:hAnsi="宋体"/>
          <w:i w:val="0"/>
          <w:color w:val="auto"/>
          <w:sz w:val="24"/>
          <w:szCs w:val="24"/>
          <w:highlight w:val="none"/>
        </w:rPr>
        <w:t xml:space="preserve">3.本协议在履行过程中发生争议，由双方协商解决，协商不成可通过司法程序裁决。 </w:t>
      </w:r>
    </w:p>
    <w:p w14:paraId="191B830E">
      <w:pPr>
        <w:autoSpaceDE w:val="0"/>
        <w:autoSpaceDN w:val="0"/>
        <w:adjustRightInd w:val="0"/>
        <w:spacing w:line="360" w:lineRule="auto"/>
        <w:ind w:firstLine="480" w:firstLineChars="200"/>
        <w:jc w:val="left"/>
        <w:rPr>
          <w:rStyle w:val="39"/>
          <w:rFonts w:ascii="宋体" w:hAnsi="宋体"/>
          <w:i w:val="0"/>
          <w:iCs w:val="0"/>
          <w:color w:val="auto"/>
          <w:kern w:val="0"/>
          <w:sz w:val="24"/>
          <w:szCs w:val="24"/>
          <w:highlight w:val="none"/>
        </w:rPr>
      </w:pPr>
      <w:r>
        <w:rPr>
          <w:rStyle w:val="39"/>
          <w:rFonts w:hint="eastAsia" w:ascii="宋体" w:hAnsi="宋体"/>
          <w:i w:val="0"/>
          <w:color w:val="auto"/>
          <w:sz w:val="24"/>
          <w:szCs w:val="24"/>
          <w:highlight w:val="none"/>
        </w:rPr>
        <w:t>4.本协议与甲乙双方所签订的合同具有相同之法律效力，与合同同时生效，</w:t>
      </w:r>
      <w:r>
        <w:rPr>
          <w:rFonts w:hint="eastAsia" w:ascii="宋体" w:hAnsi="宋体"/>
          <w:color w:val="auto"/>
          <w:kern w:val="0"/>
          <w:sz w:val="24"/>
          <w:szCs w:val="24"/>
          <w:highlight w:val="none"/>
        </w:rPr>
        <w:t>本协议一式十二份，甲方七份，乙方五份，</w:t>
      </w:r>
      <w:r>
        <w:rPr>
          <w:rStyle w:val="39"/>
          <w:rFonts w:hint="eastAsia" w:ascii="宋体" w:hAnsi="宋体"/>
          <w:i w:val="0"/>
          <w:color w:val="auto"/>
          <w:sz w:val="24"/>
          <w:szCs w:val="24"/>
          <w:highlight w:val="none"/>
        </w:rPr>
        <w:t>甲乙双方代表签字盖章后生效。</w:t>
      </w:r>
    </w:p>
    <w:p w14:paraId="20EEBF58">
      <w:pPr>
        <w:spacing w:line="360" w:lineRule="auto"/>
        <w:rPr>
          <w:rStyle w:val="39"/>
          <w:rFonts w:ascii="宋体" w:hAnsi="宋体"/>
          <w:i w:val="0"/>
          <w:color w:val="auto"/>
          <w:sz w:val="24"/>
          <w:szCs w:val="24"/>
          <w:highlight w:val="none"/>
        </w:rPr>
      </w:pPr>
    </w:p>
    <w:p w14:paraId="71F61C69">
      <w:pPr>
        <w:spacing w:line="360" w:lineRule="auto"/>
        <w:rPr>
          <w:rStyle w:val="39"/>
          <w:rFonts w:ascii="宋体" w:hAnsi="宋体"/>
          <w:i w:val="0"/>
          <w:color w:val="auto"/>
          <w:sz w:val="24"/>
          <w:szCs w:val="24"/>
          <w:highlight w:val="none"/>
        </w:rPr>
      </w:pPr>
    </w:p>
    <w:p w14:paraId="4A627172">
      <w:pPr>
        <w:pStyle w:val="36"/>
        <w:spacing w:before="0" w:after="0" w:line="360" w:lineRule="auto"/>
        <w:ind w:left="0" w:right="-6" w:firstLine="480" w:firstLineChars="200"/>
        <w:rPr>
          <w:rFonts w:ascii="宋体" w:hAnsi="宋体"/>
          <w:color w:val="auto"/>
          <w:szCs w:val="24"/>
          <w:highlight w:val="none"/>
        </w:rPr>
      </w:pPr>
      <w:r>
        <w:rPr>
          <w:rFonts w:hint="eastAsia" w:ascii="宋体" w:hAnsi="宋体"/>
          <w:color w:val="auto"/>
          <w:szCs w:val="24"/>
          <w:highlight w:val="none"/>
        </w:rPr>
        <w:t>发　包　人：</w:t>
      </w:r>
      <w:r>
        <w:rPr>
          <w:rFonts w:hint="eastAsia" w:ascii="宋体" w:hAnsi="宋体"/>
          <w:color w:val="auto"/>
          <w:szCs w:val="24"/>
          <w:highlight w:val="none"/>
          <w:lang w:eastAsia="zh-CN"/>
        </w:rPr>
        <w:t>浙江巨化化工矿业有限公司</w:t>
      </w:r>
      <w:r>
        <w:rPr>
          <w:rFonts w:hint="eastAsia" w:ascii="宋体" w:hAnsi="宋体"/>
          <w:color w:val="auto"/>
          <w:szCs w:val="24"/>
          <w:highlight w:val="none"/>
        </w:rPr>
        <w:t>　　　  承　包　人：</w:t>
      </w:r>
      <w:r>
        <w:rPr>
          <w:rFonts w:ascii="宋体" w:hAnsi="宋体"/>
          <w:color w:val="auto"/>
          <w:szCs w:val="24"/>
          <w:highlight w:val="none"/>
        </w:rPr>
        <w:t xml:space="preserve"> </w:t>
      </w:r>
    </w:p>
    <w:p w14:paraId="790EDB59">
      <w:pPr>
        <w:pStyle w:val="36"/>
        <w:spacing w:before="0" w:after="0" w:line="360" w:lineRule="auto"/>
        <w:ind w:left="0" w:right="-6" w:firstLine="480" w:firstLineChars="200"/>
        <w:rPr>
          <w:rFonts w:ascii="宋体" w:hAnsi="宋体"/>
          <w:color w:val="auto"/>
          <w:szCs w:val="24"/>
          <w:highlight w:val="none"/>
        </w:rPr>
      </w:pPr>
    </w:p>
    <w:p w14:paraId="485A6863">
      <w:pPr>
        <w:pStyle w:val="36"/>
        <w:spacing w:before="0" w:after="0" w:line="360" w:lineRule="auto"/>
        <w:ind w:left="0" w:right="-6" w:firstLine="480" w:firstLineChars="200"/>
        <w:rPr>
          <w:rFonts w:ascii="宋体" w:hAnsi="宋体"/>
          <w:color w:val="auto"/>
          <w:szCs w:val="24"/>
          <w:highlight w:val="none"/>
        </w:rPr>
      </w:pPr>
      <w:r>
        <w:rPr>
          <w:rFonts w:hint="eastAsia" w:ascii="宋体" w:hAnsi="宋体"/>
          <w:color w:val="auto"/>
          <w:szCs w:val="24"/>
          <w:highlight w:val="none"/>
        </w:rPr>
        <w:t>法定/授权代表人（签字）：　　　         法定/授权代表人（签字）：</w:t>
      </w:r>
    </w:p>
    <w:p w14:paraId="4A198ADC">
      <w:pPr>
        <w:pStyle w:val="36"/>
        <w:spacing w:before="0" w:after="0" w:line="360" w:lineRule="auto"/>
        <w:ind w:left="0" w:right="-6"/>
        <w:rPr>
          <w:rFonts w:ascii="宋体" w:hAnsi="宋体"/>
          <w:color w:val="auto"/>
          <w:szCs w:val="24"/>
          <w:highlight w:val="none"/>
        </w:rPr>
      </w:pPr>
      <w:r>
        <w:rPr>
          <w:rFonts w:hint="eastAsia" w:ascii="宋体" w:hAnsi="宋体"/>
          <w:color w:val="auto"/>
          <w:szCs w:val="24"/>
          <w:highlight w:val="none"/>
        </w:rPr>
        <w:t xml:space="preserve">   </w:t>
      </w:r>
    </w:p>
    <w:p w14:paraId="54A15D30">
      <w:pPr>
        <w:pStyle w:val="36"/>
        <w:spacing w:before="0" w:after="0" w:line="360" w:lineRule="auto"/>
        <w:ind w:left="0" w:right="-6"/>
        <w:rPr>
          <w:rFonts w:ascii="宋体" w:hAnsi="宋体"/>
          <w:color w:val="auto"/>
          <w:szCs w:val="24"/>
          <w:highlight w:val="none"/>
        </w:rPr>
      </w:pPr>
    </w:p>
    <w:p w14:paraId="73DE72DA">
      <w:pPr>
        <w:autoSpaceDE w:val="0"/>
        <w:autoSpaceDN w:val="0"/>
        <w:adjustRightInd w:val="0"/>
        <w:spacing w:line="360" w:lineRule="auto"/>
        <w:ind w:firstLine="3120" w:firstLineChars="1300"/>
        <w:jc w:val="left"/>
        <w:rPr>
          <w:rFonts w:ascii="宋体" w:hAnsi="宋体"/>
          <w:color w:val="auto"/>
          <w:kern w:val="0"/>
          <w:sz w:val="24"/>
          <w:szCs w:val="24"/>
          <w:highlight w:val="none"/>
        </w:rPr>
      </w:pPr>
      <w:r>
        <w:rPr>
          <w:rFonts w:hint="eastAsia" w:ascii="宋体" w:hAnsi="宋体"/>
          <w:color w:val="auto"/>
          <w:kern w:val="0"/>
          <w:sz w:val="24"/>
          <w:szCs w:val="24"/>
          <w:highlight w:val="none"/>
        </w:rPr>
        <w:t>签订日期：</w:t>
      </w:r>
      <w:r>
        <w:rPr>
          <w:rFonts w:ascii="宋体" w:hAnsi="宋体"/>
          <w:color w:val="auto"/>
          <w:kern w:val="0"/>
          <w:sz w:val="24"/>
          <w:szCs w:val="24"/>
          <w:highlight w:val="none"/>
        </w:rPr>
        <w:t>202</w:t>
      </w: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年</w:t>
      </w:r>
      <w:r>
        <w:rPr>
          <w:rFonts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月</w:t>
      </w:r>
      <w:r>
        <w:rPr>
          <w:rFonts w:ascii="宋体" w:hAnsi="宋体"/>
          <w:color w:val="auto"/>
          <w:kern w:val="0"/>
          <w:sz w:val="24"/>
          <w:szCs w:val="24"/>
          <w:highlight w:val="none"/>
          <w:u w:val="single"/>
        </w:rPr>
        <w:t xml:space="preserve">   </w:t>
      </w:r>
      <w:r>
        <w:rPr>
          <w:rFonts w:hint="eastAsia" w:ascii="宋体" w:hAnsi="宋体"/>
          <w:color w:val="auto"/>
          <w:kern w:val="0"/>
          <w:sz w:val="24"/>
          <w:szCs w:val="24"/>
          <w:highlight w:val="none"/>
        </w:rPr>
        <w:t>日</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 xml:space="preserve">              </w:t>
      </w:r>
      <w:r>
        <w:rPr>
          <w:rFonts w:ascii="宋体" w:hAnsi="宋体"/>
          <w:color w:val="auto"/>
          <w:kern w:val="0"/>
          <w:sz w:val="24"/>
          <w:szCs w:val="24"/>
          <w:highlight w:val="none"/>
        </w:rPr>
        <w:t xml:space="preserve">                      </w:t>
      </w:r>
      <w:r>
        <w:rPr>
          <w:rFonts w:hint="eastAsia" w:ascii="宋体" w:hAnsi="宋体"/>
          <w:color w:val="auto"/>
          <w:kern w:val="0"/>
          <w:sz w:val="24"/>
          <w:szCs w:val="24"/>
          <w:highlight w:val="none"/>
        </w:rPr>
        <w:t xml:space="preserve">     </w:t>
      </w:r>
    </w:p>
    <w:p w14:paraId="28EF4C87">
      <w:pPr>
        <w:spacing w:line="360" w:lineRule="auto"/>
        <w:ind w:firstLine="3120" w:firstLineChars="1300"/>
        <w:rPr>
          <w:rFonts w:ascii="宋体" w:hAnsi="宋体" w:cs="宋体"/>
          <w:color w:val="auto"/>
          <w:sz w:val="24"/>
          <w:szCs w:val="24"/>
          <w:highlight w:val="none"/>
        </w:rPr>
      </w:pPr>
      <w:r>
        <w:rPr>
          <w:rFonts w:hint="eastAsia" w:ascii="宋体" w:hAnsi="宋体"/>
          <w:color w:val="auto"/>
          <w:sz w:val="24"/>
          <w:szCs w:val="24"/>
          <w:highlight w:val="none"/>
        </w:rPr>
        <w:t>签订地点：</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14:paraId="0C52043F">
      <w:pPr>
        <w:spacing w:line="360" w:lineRule="auto"/>
        <w:ind w:firstLine="480" w:firstLineChars="200"/>
        <w:rPr>
          <w:rFonts w:ascii="宋体" w:hAnsi="宋体" w:cs="宋体"/>
          <w:color w:val="auto"/>
          <w:sz w:val="24"/>
          <w:szCs w:val="24"/>
          <w:highlight w:val="none"/>
        </w:rPr>
      </w:pPr>
    </w:p>
    <w:p w14:paraId="6A9AFA16">
      <w:pPr>
        <w:spacing w:line="360" w:lineRule="auto"/>
        <w:ind w:firstLine="480" w:firstLineChars="200"/>
        <w:rPr>
          <w:rFonts w:ascii="宋体" w:hAnsi="宋体" w:cs="宋体"/>
          <w:color w:val="auto"/>
          <w:sz w:val="24"/>
          <w:szCs w:val="24"/>
          <w:highlight w:val="none"/>
        </w:rPr>
      </w:pPr>
    </w:p>
    <w:p w14:paraId="05A1F703">
      <w:pPr>
        <w:spacing w:line="360" w:lineRule="auto"/>
        <w:rPr>
          <w:rFonts w:hint="eastAsia"/>
          <w:color w:val="auto"/>
          <w:sz w:val="24"/>
          <w:szCs w:val="24"/>
          <w:highlight w:val="none"/>
        </w:rPr>
      </w:pPr>
    </w:p>
    <w:p w14:paraId="20E733E8">
      <w:pPr>
        <w:widowControl/>
        <w:spacing w:line="360" w:lineRule="auto"/>
        <w:jc w:val="left"/>
        <w:rPr>
          <w:rFonts w:hint="eastAsia"/>
          <w:color w:val="auto"/>
          <w:sz w:val="24"/>
          <w:szCs w:val="24"/>
          <w:highlight w:val="none"/>
        </w:rPr>
      </w:pPr>
    </w:p>
    <w:p w14:paraId="703D4CC6">
      <w:pPr>
        <w:widowControl/>
        <w:spacing w:line="360" w:lineRule="auto"/>
        <w:jc w:val="left"/>
        <w:rPr>
          <w:rFonts w:hint="eastAsia"/>
          <w:color w:val="auto"/>
          <w:sz w:val="24"/>
          <w:szCs w:val="24"/>
          <w:highlight w:val="none"/>
        </w:rPr>
      </w:pPr>
    </w:p>
    <w:p w14:paraId="28261836">
      <w:pPr>
        <w:widowControl/>
        <w:spacing w:line="360" w:lineRule="auto"/>
        <w:jc w:val="left"/>
        <w:rPr>
          <w:rFonts w:hint="eastAsia"/>
          <w:color w:val="auto"/>
          <w:sz w:val="24"/>
          <w:szCs w:val="24"/>
          <w:highlight w:val="none"/>
        </w:rPr>
      </w:pPr>
    </w:p>
    <w:p w14:paraId="3D31624F">
      <w:pPr>
        <w:widowControl/>
        <w:spacing w:line="360" w:lineRule="auto"/>
        <w:jc w:val="left"/>
        <w:rPr>
          <w:rFonts w:hint="eastAsia"/>
          <w:color w:val="auto"/>
          <w:sz w:val="24"/>
          <w:szCs w:val="24"/>
          <w:highlight w:val="none"/>
        </w:rPr>
      </w:pPr>
    </w:p>
    <w:p w14:paraId="17BA8142">
      <w:pPr>
        <w:widowControl/>
        <w:jc w:val="left"/>
        <w:rPr>
          <w:rFonts w:hint="eastAsia"/>
          <w:color w:val="auto"/>
          <w:highlight w:val="none"/>
        </w:rPr>
      </w:pPr>
    </w:p>
    <w:p w14:paraId="75988426">
      <w:pPr>
        <w:widowControl/>
        <w:jc w:val="left"/>
        <w:rPr>
          <w:rFonts w:hint="eastAsia"/>
          <w:color w:val="auto"/>
          <w:highlight w:val="none"/>
        </w:rPr>
      </w:pPr>
      <w:r>
        <w:rPr>
          <w:rFonts w:hint="eastAsia"/>
          <w:color w:val="auto"/>
          <w:highlight w:val="none"/>
        </w:rPr>
        <w:br w:type="page"/>
      </w:r>
    </w:p>
    <w:p w14:paraId="7873D650">
      <w:pPr>
        <w:pStyle w:val="12"/>
        <w:rPr>
          <w:rFonts w:hint="eastAsia"/>
          <w:color w:val="auto"/>
          <w:highlight w:val="none"/>
        </w:rPr>
      </w:pPr>
    </w:p>
    <w:p w14:paraId="074DFA8E">
      <w:pPr>
        <w:snapToGrid w:val="0"/>
        <w:spacing w:before="295" w:after="295" w:line="360" w:lineRule="auto"/>
        <w:jc w:val="center"/>
        <w:rPr>
          <w:rFonts w:ascii="宋体"/>
          <w:color w:val="auto"/>
          <w:highlight w:val="none"/>
        </w:rPr>
      </w:pPr>
      <w:r>
        <w:rPr>
          <w:rFonts w:hint="eastAsia" w:ascii="宋体"/>
          <w:b/>
          <w:color w:val="auto"/>
          <w:kern w:val="0"/>
          <w:sz w:val="30"/>
          <w:szCs w:val="30"/>
          <w:highlight w:val="none"/>
        </w:rPr>
        <w:t>退还投标保证金申请书</w:t>
      </w:r>
    </w:p>
    <w:p w14:paraId="43762B2C">
      <w:pPr>
        <w:spacing w:line="360" w:lineRule="auto"/>
        <w:ind w:firstLine="480"/>
        <w:rPr>
          <w:rFonts w:ascii="宋体"/>
          <w:color w:val="auto"/>
          <w:highlight w:val="none"/>
        </w:rPr>
      </w:pPr>
      <w:r>
        <w:rPr>
          <w:rFonts w:hint="eastAsia" w:ascii="宋体"/>
          <w:color w:val="auto"/>
          <w:highlight w:val="none"/>
        </w:rPr>
        <w:t>致：浙江南方工程咨询管理有限公司</w:t>
      </w:r>
    </w:p>
    <w:p w14:paraId="41C70A0D">
      <w:pPr>
        <w:spacing w:line="360" w:lineRule="auto"/>
        <w:ind w:firstLine="480"/>
        <w:rPr>
          <w:rFonts w:ascii="宋体"/>
          <w:color w:val="auto"/>
          <w:highlight w:val="none"/>
        </w:rPr>
      </w:pPr>
      <w:r>
        <w:rPr>
          <w:rFonts w:hint="eastAsia" w:ascii="宋体"/>
          <w:color w:val="auto"/>
          <w:highlight w:val="none"/>
        </w:rPr>
        <w:t>我公司参加了贵司组织的        招标项目（项目编号：         ）的投标，现申请退还该笔投标保证金。</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075"/>
        <w:gridCol w:w="1985"/>
      </w:tblGrid>
      <w:tr w14:paraId="4B601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noWrap w:val="0"/>
            <w:vAlign w:val="center"/>
          </w:tcPr>
          <w:p w14:paraId="7C768372">
            <w:pPr>
              <w:spacing w:line="360" w:lineRule="auto"/>
              <w:jc w:val="center"/>
              <w:rPr>
                <w:rFonts w:ascii="宋体"/>
                <w:color w:val="auto"/>
                <w:highlight w:val="none"/>
              </w:rPr>
            </w:pPr>
            <w:r>
              <w:rPr>
                <w:rFonts w:hint="eastAsia" w:ascii="宋体"/>
                <w:color w:val="auto"/>
                <w:highlight w:val="none"/>
              </w:rPr>
              <w:t>申请人信息</w:t>
            </w:r>
          </w:p>
        </w:tc>
        <w:tc>
          <w:tcPr>
            <w:tcW w:w="7284" w:type="dxa"/>
            <w:gridSpan w:val="3"/>
            <w:noWrap w:val="0"/>
            <w:vAlign w:val="center"/>
          </w:tcPr>
          <w:p w14:paraId="6052E13B">
            <w:pPr>
              <w:spacing w:line="360" w:lineRule="auto"/>
              <w:rPr>
                <w:rFonts w:ascii="宋体"/>
                <w:color w:val="auto"/>
                <w:highlight w:val="none"/>
              </w:rPr>
            </w:pPr>
            <w:r>
              <w:rPr>
                <w:rFonts w:hint="eastAsia" w:ascii="宋体"/>
                <w:color w:val="auto"/>
                <w:highlight w:val="none"/>
              </w:rPr>
              <w:t>投标单位（加盖单位公章或财务专用章）：</w:t>
            </w:r>
          </w:p>
        </w:tc>
      </w:tr>
      <w:tr w14:paraId="5DCD2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344303D1">
            <w:pPr>
              <w:rPr>
                <w:color w:val="auto"/>
                <w:highlight w:val="none"/>
              </w:rPr>
            </w:pPr>
          </w:p>
        </w:tc>
        <w:tc>
          <w:tcPr>
            <w:tcW w:w="4224" w:type="dxa"/>
            <w:noWrap w:val="0"/>
            <w:vAlign w:val="center"/>
          </w:tcPr>
          <w:p w14:paraId="0F53722E">
            <w:pPr>
              <w:spacing w:line="360" w:lineRule="auto"/>
              <w:rPr>
                <w:rFonts w:ascii="宋体"/>
                <w:color w:val="auto"/>
                <w:highlight w:val="none"/>
              </w:rPr>
            </w:pPr>
            <w:r>
              <w:rPr>
                <w:rFonts w:hint="eastAsia" w:ascii="宋体"/>
                <w:color w:val="auto"/>
                <w:highlight w:val="none"/>
              </w:rPr>
              <w:t>财务联系人：</w:t>
            </w:r>
          </w:p>
        </w:tc>
        <w:tc>
          <w:tcPr>
            <w:tcW w:w="1075" w:type="dxa"/>
            <w:noWrap w:val="0"/>
            <w:vAlign w:val="center"/>
          </w:tcPr>
          <w:p w14:paraId="13A067D9">
            <w:pPr>
              <w:spacing w:line="360" w:lineRule="auto"/>
              <w:rPr>
                <w:rFonts w:ascii="宋体"/>
                <w:color w:val="auto"/>
                <w:highlight w:val="none"/>
              </w:rPr>
            </w:pPr>
            <w:r>
              <w:rPr>
                <w:rFonts w:hint="eastAsia" w:ascii="宋体"/>
                <w:color w:val="auto"/>
                <w:highlight w:val="none"/>
              </w:rPr>
              <w:t>联系方式</w:t>
            </w:r>
          </w:p>
        </w:tc>
        <w:tc>
          <w:tcPr>
            <w:tcW w:w="1985" w:type="dxa"/>
            <w:noWrap w:val="0"/>
            <w:vAlign w:val="center"/>
          </w:tcPr>
          <w:p w14:paraId="262AB4C8">
            <w:pPr>
              <w:spacing w:line="360" w:lineRule="auto"/>
              <w:rPr>
                <w:rFonts w:ascii="宋体"/>
                <w:color w:val="auto"/>
                <w:highlight w:val="none"/>
              </w:rPr>
            </w:pPr>
          </w:p>
        </w:tc>
      </w:tr>
      <w:tr w14:paraId="6C038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6F58F863">
            <w:pPr>
              <w:rPr>
                <w:color w:val="auto"/>
                <w:highlight w:val="none"/>
              </w:rPr>
            </w:pPr>
          </w:p>
        </w:tc>
        <w:tc>
          <w:tcPr>
            <w:tcW w:w="4224" w:type="dxa"/>
            <w:noWrap w:val="0"/>
            <w:vAlign w:val="center"/>
          </w:tcPr>
          <w:p w14:paraId="5CD669DE">
            <w:pPr>
              <w:spacing w:line="360" w:lineRule="auto"/>
              <w:rPr>
                <w:rFonts w:ascii="宋体"/>
                <w:color w:val="auto"/>
                <w:highlight w:val="none"/>
              </w:rPr>
            </w:pPr>
            <w:r>
              <w:rPr>
                <w:rFonts w:hint="eastAsia" w:ascii="宋体"/>
                <w:color w:val="auto"/>
                <w:highlight w:val="none"/>
              </w:rPr>
              <w:t>项目负责人：</w:t>
            </w:r>
          </w:p>
        </w:tc>
        <w:tc>
          <w:tcPr>
            <w:tcW w:w="1075" w:type="dxa"/>
            <w:noWrap w:val="0"/>
            <w:vAlign w:val="center"/>
          </w:tcPr>
          <w:p w14:paraId="7C9B065A">
            <w:pPr>
              <w:spacing w:line="360" w:lineRule="auto"/>
              <w:rPr>
                <w:rFonts w:ascii="宋体"/>
                <w:color w:val="auto"/>
                <w:highlight w:val="none"/>
              </w:rPr>
            </w:pPr>
            <w:r>
              <w:rPr>
                <w:rFonts w:hint="eastAsia" w:ascii="宋体"/>
                <w:color w:val="auto"/>
                <w:highlight w:val="none"/>
              </w:rPr>
              <w:t>联系方式</w:t>
            </w:r>
          </w:p>
        </w:tc>
        <w:tc>
          <w:tcPr>
            <w:tcW w:w="1985" w:type="dxa"/>
            <w:noWrap w:val="0"/>
            <w:vAlign w:val="center"/>
          </w:tcPr>
          <w:p w14:paraId="0EB2B175">
            <w:pPr>
              <w:spacing w:line="360" w:lineRule="auto"/>
              <w:rPr>
                <w:rFonts w:ascii="宋体"/>
                <w:color w:val="auto"/>
                <w:highlight w:val="none"/>
              </w:rPr>
            </w:pPr>
          </w:p>
        </w:tc>
      </w:tr>
      <w:tr w14:paraId="1AB3F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30177307">
            <w:pPr>
              <w:rPr>
                <w:color w:val="auto"/>
                <w:highlight w:val="none"/>
              </w:rPr>
            </w:pPr>
          </w:p>
        </w:tc>
        <w:tc>
          <w:tcPr>
            <w:tcW w:w="7284" w:type="dxa"/>
            <w:gridSpan w:val="3"/>
            <w:noWrap w:val="0"/>
            <w:vAlign w:val="center"/>
          </w:tcPr>
          <w:p w14:paraId="433DDA2E">
            <w:pPr>
              <w:spacing w:line="360" w:lineRule="auto"/>
              <w:rPr>
                <w:rFonts w:ascii="宋体"/>
                <w:color w:val="auto"/>
                <w:highlight w:val="none"/>
              </w:rPr>
            </w:pPr>
            <w:r>
              <w:rPr>
                <w:rFonts w:hint="eastAsia" w:ascii="宋体"/>
                <w:color w:val="auto"/>
                <w:highlight w:val="none"/>
              </w:rPr>
              <w:t>投标保证金金额（大写）：</w:t>
            </w:r>
          </w:p>
        </w:tc>
      </w:tr>
      <w:tr w14:paraId="6F4D6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noWrap w:val="0"/>
            <w:vAlign w:val="center"/>
          </w:tcPr>
          <w:p w14:paraId="550926EA">
            <w:pPr>
              <w:spacing w:line="360" w:lineRule="auto"/>
              <w:jc w:val="center"/>
              <w:rPr>
                <w:rFonts w:ascii="宋体"/>
                <w:color w:val="auto"/>
                <w:highlight w:val="none"/>
              </w:rPr>
            </w:pPr>
            <w:r>
              <w:rPr>
                <w:rFonts w:hint="eastAsia" w:ascii="宋体"/>
                <w:color w:val="auto"/>
                <w:highlight w:val="none"/>
              </w:rPr>
              <w:t>退还账户信息</w:t>
            </w:r>
          </w:p>
        </w:tc>
        <w:tc>
          <w:tcPr>
            <w:tcW w:w="7284" w:type="dxa"/>
            <w:gridSpan w:val="3"/>
            <w:noWrap w:val="0"/>
            <w:vAlign w:val="center"/>
          </w:tcPr>
          <w:p w14:paraId="3C807E66">
            <w:pPr>
              <w:spacing w:line="360" w:lineRule="auto"/>
              <w:rPr>
                <w:rFonts w:ascii="宋体"/>
                <w:color w:val="auto"/>
                <w:highlight w:val="none"/>
              </w:rPr>
            </w:pPr>
            <w:r>
              <w:rPr>
                <w:rFonts w:hint="eastAsia" w:ascii="宋体"/>
                <w:color w:val="auto"/>
                <w:highlight w:val="none"/>
              </w:rPr>
              <w:t>单位名称（户名）：</w:t>
            </w:r>
          </w:p>
        </w:tc>
      </w:tr>
      <w:tr w14:paraId="4DDC5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0A8E9E97">
            <w:pPr>
              <w:rPr>
                <w:color w:val="auto"/>
                <w:highlight w:val="none"/>
              </w:rPr>
            </w:pPr>
          </w:p>
        </w:tc>
        <w:tc>
          <w:tcPr>
            <w:tcW w:w="7284" w:type="dxa"/>
            <w:gridSpan w:val="3"/>
            <w:noWrap w:val="0"/>
            <w:vAlign w:val="center"/>
          </w:tcPr>
          <w:p w14:paraId="44A96D48">
            <w:pPr>
              <w:spacing w:line="360" w:lineRule="auto"/>
              <w:rPr>
                <w:rFonts w:ascii="宋体"/>
                <w:color w:val="auto"/>
                <w:highlight w:val="none"/>
              </w:rPr>
            </w:pPr>
            <w:r>
              <w:rPr>
                <w:rFonts w:hint="eastAsia" w:ascii="宋体"/>
                <w:color w:val="auto"/>
                <w:highlight w:val="none"/>
              </w:rPr>
              <w:t>单位税号：</w:t>
            </w:r>
          </w:p>
        </w:tc>
      </w:tr>
      <w:tr w14:paraId="27713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122C58E0">
            <w:pPr>
              <w:rPr>
                <w:color w:val="auto"/>
                <w:highlight w:val="none"/>
              </w:rPr>
            </w:pPr>
          </w:p>
        </w:tc>
        <w:tc>
          <w:tcPr>
            <w:tcW w:w="7284" w:type="dxa"/>
            <w:gridSpan w:val="3"/>
            <w:noWrap w:val="0"/>
            <w:vAlign w:val="center"/>
          </w:tcPr>
          <w:p w14:paraId="1CC4809B">
            <w:pPr>
              <w:spacing w:line="360" w:lineRule="auto"/>
              <w:rPr>
                <w:rFonts w:ascii="宋体"/>
                <w:color w:val="auto"/>
                <w:highlight w:val="none"/>
              </w:rPr>
            </w:pPr>
            <w:r>
              <w:rPr>
                <w:rFonts w:hint="eastAsia" w:ascii="宋体"/>
                <w:color w:val="auto"/>
                <w:highlight w:val="none"/>
              </w:rPr>
              <w:t>开户银行：</w:t>
            </w:r>
          </w:p>
        </w:tc>
      </w:tr>
      <w:tr w14:paraId="64A13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087B85B7">
            <w:pPr>
              <w:rPr>
                <w:color w:val="auto"/>
                <w:highlight w:val="none"/>
              </w:rPr>
            </w:pPr>
          </w:p>
        </w:tc>
        <w:tc>
          <w:tcPr>
            <w:tcW w:w="7284" w:type="dxa"/>
            <w:gridSpan w:val="3"/>
            <w:noWrap w:val="0"/>
            <w:vAlign w:val="center"/>
          </w:tcPr>
          <w:p w14:paraId="080F2968">
            <w:pPr>
              <w:spacing w:line="360" w:lineRule="auto"/>
              <w:rPr>
                <w:rFonts w:ascii="宋体"/>
                <w:color w:val="auto"/>
                <w:highlight w:val="none"/>
              </w:rPr>
            </w:pPr>
            <w:r>
              <w:rPr>
                <w:rFonts w:hint="eastAsia" w:ascii="宋体"/>
                <w:color w:val="auto"/>
                <w:highlight w:val="none"/>
              </w:rPr>
              <w:t>银行账号：</w:t>
            </w:r>
          </w:p>
        </w:tc>
      </w:tr>
      <w:tr w14:paraId="23A0B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noWrap w:val="0"/>
            <w:vAlign w:val="center"/>
          </w:tcPr>
          <w:p w14:paraId="505854DD">
            <w:pPr>
              <w:rPr>
                <w:color w:val="auto"/>
                <w:highlight w:val="none"/>
              </w:rPr>
            </w:pPr>
          </w:p>
        </w:tc>
        <w:tc>
          <w:tcPr>
            <w:tcW w:w="7284" w:type="dxa"/>
            <w:gridSpan w:val="3"/>
            <w:noWrap w:val="0"/>
            <w:vAlign w:val="center"/>
          </w:tcPr>
          <w:p w14:paraId="1872F0CA">
            <w:pPr>
              <w:spacing w:line="360" w:lineRule="auto"/>
              <w:rPr>
                <w:rFonts w:ascii="宋体"/>
                <w:color w:val="auto"/>
                <w:highlight w:val="none"/>
              </w:rPr>
            </w:pPr>
            <w:r>
              <w:rPr>
                <w:rFonts w:hint="eastAsia" w:ascii="宋体"/>
                <w:color w:val="auto"/>
                <w:highlight w:val="none"/>
              </w:rPr>
              <w:t>单位地址：</w:t>
            </w:r>
          </w:p>
        </w:tc>
      </w:tr>
      <w:tr w14:paraId="634FD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noWrap w:val="0"/>
            <w:vAlign w:val="center"/>
          </w:tcPr>
          <w:p w14:paraId="495C2B86">
            <w:pPr>
              <w:rPr>
                <w:color w:val="auto"/>
                <w:highlight w:val="none"/>
              </w:rPr>
            </w:pPr>
          </w:p>
        </w:tc>
        <w:tc>
          <w:tcPr>
            <w:tcW w:w="7284" w:type="dxa"/>
            <w:gridSpan w:val="3"/>
            <w:noWrap w:val="0"/>
            <w:vAlign w:val="center"/>
          </w:tcPr>
          <w:p w14:paraId="0FA40600">
            <w:pPr>
              <w:spacing w:line="360" w:lineRule="auto"/>
              <w:rPr>
                <w:rFonts w:ascii="宋体"/>
                <w:color w:val="auto"/>
                <w:highlight w:val="none"/>
              </w:rPr>
            </w:pPr>
            <w:r>
              <w:rPr>
                <w:rFonts w:hint="eastAsia" w:ascii="宋体"/>
                <w:color w:val="auto"/>
                <w:highlight w:val="none"/>
              </w:rPr>
              <w:t>电话：</w:t>
            </w:r>
          </w:p>
        </w:tc>
      </w:tr>
    </w:tbl>
    <w:p w14:paraId="75F3F848">
      <w:pPr>
        <w:spacing w:line="360" w:lineRule="auto"/>
        <w:ind w:firstLine="420" w:firstLineChars="200"/>
        <w:outlineLvl w:val="2"/>
        <w:rPr>
          <w:rFonts w:ascii="宋体"/>
          <w:color w:val="auto"/>
          <w:highlight w:val="none"/>
        </w:rPr>
      </w:pPr>
      <w:r>
        <w:rPr>
          <w:rFonts w:hint="eastAsia" w:ascii="宋体"/>
          <w:color w:val="auto"/>
          <w:highlight w:val="none"/>
        </w:rPr>
        <w:t>注：1、该“退还投标保证金申请书”可在投标</w:t>
      </w:r>
      <w:r>
        <w:rPr>
          <w:rFonts w:hint="eastAsia" w:ascii="宋体"/>
          <w:color w:val="auto"/>
          <w:highlight w:val="none"/>
          <w:lang w:val="en-US" w:eastAsia="zh-CN"/>
        </w:rPr>
        <w:t>时</w:t>
      </w:r>
      <w:bookmarkStart w:id="448" w:name="_GoBack"/>
      <w:bookmarkEnd w:id="448"/>
      <w:r>
        <w:rPr>
          <w:rFonts w:hint="eastAsia" w:ascii="宋体"/>
          <w:color w:val="auto"/>
          <w:highlight w:val="none"/>
        </w:rPr>
        <w:t>提供</w:t>
      </w:r>
    </w:p>
    <w:p w14:paraId="06B69F5E">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7A1C5">
    <w:pPr>
      <w:pStyle w:val="15"/>
      <w:ind w:firstLine="4140" w:firstLineChars="230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1B3E53A">
                          <w:pPr>
                            <w:pStyle w:val="15"/>
                            <w:ind w:left="210" w:leftChars="100" w:right="210" w:right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14:paraId="51B3E53A">
                    <w:pPr>
                      <w:pStyle w:val="15"/>
                      <w:ind w:left="210" w:leftChars="100" w:right="210" w:right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14:paraId="32EECB87">
    <w:pPr>
      <w:pStyle w:val="15"/>
      <w:tabs>
        <w:tab w:val="left" w:pos="4845"/>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92CCA">
    <w:pPr>
      <w:pStyle w:val="15"/>
      <w:framePr w:wrap="around" w:vAnchor="text" w:hAnchor="margin" w:xAlign="center" w:y="1"/>
      <w:rPr>
        <w:rStyle w:val="25"/>
      </w:rPr>
    </w:pPr>
    <w:r>
      <w:fldChar w:fldCharType="begin"/>
    </w:r>
    <w:r>
      <w:rPr>
        <w:rStyle w:val="25"/>
      </w:rPr>
      <w:instrText xml:space="preserve">PAGE  </w:instrText>
    </w:r>
    <w:r>
      <w:fldChar w:fldCharType="separate"/>
    </w:r>
    <w:r>
      <w:fldChar w:fldCharType="end"/>
    </w:r>
  </w:p>
  <w:p w14:paraId="2E29C35C">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46BB3">
    <w:pPr>
      <w:pStyle w:val="1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AED0F7B">
                          <w:pPr>
                            <w:pStyle w:val="15"/>
                            <w:ind w:left="210" w:leftChars="100" w:right="210" w:right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0AED0F7B">
                    <w:pPr>
                      <w:pStyle w:val="15"/>
                      <w:ind w:left="210" w:leftChars="100" w:right="210" w:right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57D1AD">
    <w:pPr>
      <w:pStyle w:val="1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9AABD07">
                          <w:pPr>
                            <w:pStyle w:val="15"/>
                            <w:ind w:left="210" w:leftChars="100" w:right="210" w:right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79AABD07">
                    <w:pPr>
                      <w:pStyle w:val="15"/>
                      <w:ind w:left="210" w:leftChars="100" w:right="210" w:right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D9545">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B534D86"/>
    <w:multiLevelType w:val="singleLevel"/>
    <w:tmpl w:val="1B534D86"/>
    <w:lvl w:ilvl="0" w:tentative="0">
      <w:start w:val="1"/>
      <w:numFmt w:val="chineseCounting"/>
      <w:suff w:val="nothing"/>
      <w:lvlText w:val="%1、"/>
      <w:lvlJc w:val="left"/>
      <w:pPr>
        <w:tabs>
          <w:tab w:val="left" w:pos="0"/>
        </w:tabs>
        <w:ind w:left="0" w:firstLine="0"/>
      </w:pPr>
    </w:lvl>
  </w:abstractNum>
  <w:abstractNum w:abstractNumId="2">
    <w:nsid w:val="384D95C9"/>
    <w:multiLevelType w:val="singleLevel"/>
    <w:tmpl w:val="384D95C9"/>
    <w:lvl w:ilvl="0" w:tentative="0">
      <w:start w:val="1"/>
      <w:numFmt w:val="decimal"/>
      <w:pStyle w:val="8"/>
      <w:lvlText w:val="%1."/>
      <w:lvlJc w:val="left"/>
      <w:pPr>
        <w:tabs>
          <w:tab w:val="left" w:pos="360"/>
        </w:tabs>
        <w:ind w:left="360" w:hanging="360"/>
      </w:pPr>
    </w:lvl>
  </w:abstractNum>
  <w:abstractNum w:abstractNumId="3">
    <w:nsid w:val="62C61D10"/>
    <w:multiLevelType w:val="multilevel"/>
    <w:tmpl w:val="62C61D10"/>
    <w:lvl w:ilvl="0" w:tentative="0">
      <w:start w:val="1"/>
      <w:numFmt w:val="decimal"/>
      <w:lvlText w:val="第%1条"/>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7F5A7557"/>
    <w:multiLevelType w:val="singleLevel"/>
    <w:tmpl w:val="7F5A7557"/>
    <w:lvl w:ilvl="0" w:tentative="0">
      <w:start w:val="4"/>
      <w:numFmt w:val="chineseCounting"/>
      <w:suff w:val="nothing"/>
      <w:lvlText w:val="%1、"/>
      <w:lvlJc w:val="left"/>
      <w:rPr>
        <w:rFonts w:hint="eastAsia"/>
      </w:rPr>
    </w:lvl>
  </w:abstractNum>
  <w:num w:numId="1">
    <w:abstractNumId w:val="2"/>
  </w:num>
  <w:num w:numId="2">
    <w:abstractNumId w:val="0"/>
  </w:num>
  <w:num w:numId="3">
    <w:abstractNumId w:val="1"/>
    <w:lvlOverride w:ilvl="0">
      <w:startOverride w:val="1"/>
    </w:lvlOverride>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jOTJmZThkODVjMTRlZjEyNDVlNDM3MzMyM2JhYjQifQ=="/>
  </w:docVars>
  <w:rsids>
    <w:rsidRoot w:val="00000000"/>
    <w:rsid w:val="0044472A"/>
    <w:rsid w:val="01D17993"/>
    <w:rsid w:val="02355837"/>
    <w:rsid w:val="02511F45"/>
    <w:rsid w:val="05742A02"/>
    <w:rsid w:val="07146C2B"/>
    <w:rsid w:val="0B734F89"/>
    <w:rsid w:val="0C5842C6"/>
    <w:rsid w:val="0CEA12C0"/>
    <w:rsid w:val="0D8F12C7"/>
    <w:rsid w:val="0EBF4DF1"/>
    <w:rsid w:val="0F503C2D"/>
    <w:rsid w:val="0F711E78"/>
    <w:rsid w:val="11164A85"/>
    <w:rsid w:val="158109B6"/>
    <w:rsid w:val="17E133E4"/>
    <w:rsid w:val="182C4B8E"/>
    <w:rsid w:val="18677ED3"/>
    <w:rsid w:val="1B4F376D"/>
    <w:rsid w:val="1B8D5B86"/>
    <w:rsid w:val="1D4E31DD"/>
    <w:rsid w:val="1FB60001"/>
    <w:rsid w:val="218D3EC3"/>
    <w:rsid w:val="228B23EC"/>
    <w:rsid w:val="22F77202"/>
    <w:rsid w:val="25E15935"/>
    <w:rsid w:val="267C13D7"/>
    <w:rsid w:val="273B6B9C"/>
    <w:rsid w:val="286E6AFD"/>
    <w:rsid w:val="28EA6ACC"/>
    <w:rsid w:val="2958279B"/>
    <w:rsid w:val="2DF02F0A"/>
    <w:rsid w:val="2EFF35B6"/>
    <w:rsid w:val="2F726C5C"/>
    <w:rsid w:val="30D342E9"/>
    <w:rsid w:val="31340FBB"/>
    <w:rsid w:val="31366948"/>
    <w:rsid w:val="31E7154E"/>
    <w:rsid w:val="329715C0"/>
    <w:rsid w:val="33814394"/>
    <w:rsid w:val="349D0E96"/>
    <w:rsid w:val="35753EEE"/>
    <w:rsid w:val="392B08E6"/>
    <w:rsid w:val="3B8052CB"/>
    <w:rsid w:val="3C9E3C74"/>
    <w:rsid w:val="3F19736B"/>
    <w:rsid w:val="40262B23"/>
    <w:rsid w:val="415723CD"/>
    <w:rsid w:val="442C18EF"/>
    <w:rsid w:val="443B1F26"/>
    <w:rsid w:val="46651D04"/>
    <w:rsid w:val="46A00372"/>
    <w:rsid w:val="48C2276C"/>
    <w:rsid w:val="49DF11B2"/>
    <w:rsid w:val="4EDF6E93"/>
    <w:rsid w:val="50D9287D"/>
    <w:rsid w:val="533A07B5"/>
    <w:rsid w:val="533B1B4E"/>
    <w:rsid w:val="543A0058"/>
    <w:rsid w:val="549A28A4"/>
    <w:rsid w:val="568B0B58"/>
    <w:rsid w:val="58B42B35"/>
    <w:rsid w:val="59096D14"/>
    <w:rsid w:val="59C5489E"/>
    <w:rsid w:val="5A76346C"/>
    <w:rsid w:val="5CE16270"/>
    <w:rsid w:val="60365400"/>
    <w:rsid w:val="619F162E"/>
    <w:rsid w:val="64515C6C"/>
    <w:rsid w:val="64B67287"/>
    <w:rsid w:val="66A67FC8"/>
    <w:rsid w:val="6716400D"/>
    <w:rsid w:val="67336666"/>
    <w:rsid w:val="6B142F59"/>
    <w:rsid w:val="6B2B1E0D"/>
    <w:rsid w:val="6F002C34"/>
    <w:rsid w:val="6F00422F"/>
    <w:rsid w:val="6FFB622B"/>
    <w:rsid w:val="70141D3D"/>
    <w:rsid w:val="76385751"/>
    <w:rsid w:val="772B3B04"/>
    <w:rsid w:val="7A057D3D"/>
    <w:rsid w:val="7C8810B1"/>
    <w:rsid w:val="7C9832E6"/>
    <w:rsid w:val="7E315253"/>
    <w:rsid w:val="7F975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38"/>
    <w:qFormat/>
    <w:uiPriority w:val="0"/>
    <w:pPr>
      <w:keepNext/>
      <w:keepLines/>
      <w:spacing w:line="520" w:lineRule="exact"/>
      <w:jc w:val="center"/>
      <w:outlineLvl w:val="0"/>
    </w:pPr>
    <w:rPr>
      <w:b/>
      <w:bCs/>
      <w:kern w:val="44"/>
      <w:sz w:val="36"/>
      <w:szCs w:val="44"/>
    </w:rPr>
  </w:style>
  <w:style w:type="paragraph" w:styleId="5">
    <w:name w:val="heading 2"/>
    <w:basedOn w:val="1"/>
    <w:next w:val="1"/>
    <w:qFormat/>
    <w:uiPriority w:val="0"/>
    <w:pPr>
      <w:keepNext/>
      <w:keepLines/>
      <w:spacing w:line="520" w:lineRule="exact"/>
      <w:outlineLvl w:val="1"/>
    </w:pPr>
    <w:rPr>
      <w:rFonts w:ascii="Arial" w:hAnsi="Arial"/>
      <w:b/>
      <w:bCs/>
      <w:sz w:val="28"/>
      <w:szCs w:val="32"/>
    </w:rPr>
  </w:style>
  <w:style w:type="paragraph" w:styleId="6">
    <w:name w:val="heading 3"/>
    <w:basedOn w:val="1"/>
    <w:next w:val="1"/>
    <w:qFormat/>
    <w:uiPriority w:val="0"/>
    <w:pPr>
      <w:keepNext/>
      <w:keepLines/>
      <w:spacing w:line="520" w:lineRule="exact"/>
      <w:outlineLvl w:val="2"/>
    </w:pPr>
    <w:rPr>
      <w:b/>
      <w:bCs/>
      <w:sz w:val="24"/>
      <w:szCs w:val="32"/>
    </w:rPr>
  </w:style>
  <w:style w:type="paragraph" w:styleId="7">
    <w:name w:val="heading 4"/>
    <w:basedOn w:val="1"/>
    <w:next w:val="1"/>
    <w:qFormat/>
    <w:uiPriority w:val="0"/>
    <w:pPr>
      <w:keepNext/>
      <w:keepLines/>
      <w:spacing w:before="280" w:after="290" w:line="376" w:lineRule="auto"/>
      <w:outlineLvl w:val="3"/>
    </w:pPr>
    <w:rPr>
      <w:rFonts w:ascii="Cambria" w:hAnsi="Cambria"/>
      <w:b/>
      <w:bCs/>
      <w:sz w:val="28"/>
      <w:szCs w:val="28"/>
    </w:rPr>
  </w:style>
  <w:style w:type="character" w:default="1" w:styleId="23">
    <w:name w:val="Default Paragraph Font"/>
    <w:semiHidden/>
    <w:qFormat/>
    <w:uiPriority w:val="0"/>
  </w:style>
  <w:style w:type="table" w:default="1" w:styleId="21">
    <w:name w:val="Normal Table"/>
    <w:autoRedefine/>
    <w:semiHidden/>
    <w:qFormat/>
    <w:uiPriority w:val="0"/>
    <w:tblPr>
      <w:tblCellMar>
        <w:top w:w="0" w:type="dxa"/>
        <w:left w:w="108" w:type="dxa"/>
        <w:bottom w:w="0" w:type="dxa"/>
        <w:right w:w="108" w:type="dxa"/>
      </w:tblCellMar>
    </w:tblPr>
  </w:style>
  <w:style w:type="paragraph" w:customStyle="1" w:styleId="2">
    <w:name w:val="BodyText1I2"/>
    <w:basedOn w:val="3"/>
    <w:next w:val="1"/>
    <w:qFormat/>
    <w:uiPriority w:val="0"/>
    <w:pPr>
      <w:tabs>
        <w:tab w:val="left" w:pos="435"/>
      </w:tabs>
      <w:spacing w:after="120"/>
      <w:ind w:left="420" w:leftChars="200" w:firstLine="420" w:firstLineChars="200"/>
      <w:jc w:val="both"/>
      <w:textAlignment w:val="baseline"/>
    </w:pPr>
    <w:rPr>
      <w:sz w:val="28"/>
    </w:rPr>
  </w:style>
  <w:style w:type="paragraph" w:customStyle="1" w:styleId="3">
    <w:name w:val="BodyTextIndent"/>
    <w:basedOn w:val="1"/>
    <w:qFormat/>
    <w:uiPriority w:val="0"/>
    <w:pPr>
      <w:spacing w:after="120"/>
      <w:ind w:left="420" w:leftChars="200"/>
      <w:jc w:val="both"/>
      <w:textAlignment w:val="baseline"/>
    </w:pPr>
  </w:style>
  <w:style w:type="paragraph" w:styleId="8">
    <w:name w:val="List Number"/>
    <w:basedOn w:val="1"/>
    <w:autoRedefine/>
    <w:qFormat/>
    <w:uiPriority w:val="0"/>
    <w:pPr>
      <w:numPr>
        <w:ilvl w:val="0"/>
        <w:numId w:val="1"/>
      </w:numPr>
    </w:pPr>
  </w:style>
  <w:style w:type="paragraph" w:styleId="9">
    <w:name w:val="annotation text"/>
    <w:basedOn w:val="1"/>
    <w:qFormat/>
    <w:uiPriority w:val="0"/>
    <w:pPr>
      <w:jc w:val="left"/>
    </w:pPr>
    <w:rPr>
      <w:szCs w:val="24"/>
    </w:rPr>
  </w:style>
  <w:style w:type="paragraph" w:styleId="10">
    <w:name w:val="Body Text"/>
    <w:basedOn w:val="1"/>
    <w:next w:val="11"/>
    <w:qFormat/>
    <w:uiPriority w:val="0"/>
    <w:rPr>
      <w:rFonts w:ascii="宋体" w:hAnsi="Times New Roman"/>
      <w:sz w:val="28"/>
    </w:rPr>
  </w:style>
  <w:style w:type="paragraph" w:styleId="11">
    <w:name w:val="Body Text First Indent"/>
    <w:basedOn w:val="10"/>
    <w:next w:val="1"/>
    <w:autoRedefine/>
    <w:qFormat/>
    <w:uiPriority w:val="0"/>
    <w:pPr>
      <w:spacing w:after="120"/>
      <w:ind w:firstLine="420" w:firstLineChars="100"/>
    </w:pPr>
    <w:rPr>
      <w:rFonts w:ascii="Times New Roman"/>
      <w:sz w:val="21"/>
      <w:szCs w:val="24"/>
    </w:rPr>
  </w:style>
  <w:style w:type="paragraph" w:styleId="12">
    <w:name w:val="Body Text Indent"/>
    <w:basedOn w:val="1"/>
    <w:next w:val="1"/>
    <w:qFormat/>
    <w:uiPriority w:val="0"/>
    <w:pPr>
      <w:widowControl/>
      <w:overflowPunct w:val="0"/>
      <w:autoSpaceDE w:val="0"/>
      <w:autoSpaceDN w:val="0"/>
      <w:adjustRightInd w:val="0"/>
      <w:spacing w:line="360" w:lineRule="auto"/>
      <w:ind w:firstLine="540"/>
      <w:textAlignment w:val="baseline"/>
    </w:pPr>
    <w:rPr>
      <w:rFonts w:ascii="宋体" w:hAnsi="MS Sans Serif"/>
      <w:spacing w:val="12"/>
      <w:kern w:val="0"/>
      <w:sz w:val="24"/>
    </w:rPr>
  </w:style>
  <w:style w:type="paragraph" w:styleId="13">
    <w:name w:val="Plain Text"/>
    <w:basedOn w:val="1"/>
    <w:autoRedefine/>
    <w:qFormat/>
    <w:uiPriority w:val="0"/>
    <w:rPr>
      <w:rFonts w:ascii="宋体"/>
    </w:rPr>
  </w:style>
  <w:style w:type="paragraph" w:styleId="14">
    <w:name w:val="Body Text Indent 2"/>
    <w:basedOn w:val="1"/>
    <w:qFormat/>
    <w:uiPriority w:val="0"/>
    <w:pPr>
      <w:spacing w:after="120" w:afterLines="0" w:line="480" w:lineRule="auto"/>
      <w:ind w:left="420" w:leftChars="200"/>
    </w:pPr>
  </w:style>
  <w:style w:type="paragraph" w:styleId="15">
    <w:name w:val="footer"/>
    <w:basedOn w:val="1"/>
    <w:autoRedefine/>
    <w:qFormat/>
    <w:uiPriority w:val="0"/>
    <w:pPr>
      <w:tabs>
        <w:tab w:val="center" w:pos="4153"/>
        <w:tab w:val="right" w:pos="8306"/>
      </w:tabs>
      <w:snapToGrid w:val="0"/>
      <w:jc w:val="left"/>
    </w:pPr>
    <w:rPr>
      <w:sz w:val="18"/>
      <w:szCs w:val="18"/>
    </w:rPr>
  </w:style>
  <w:style w:type="paragraph" w:styleId="1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rPr>
      <w:rFonts w:ascii="Calibri" w:hAnsi="Calibri" w:eastAsia="宋体" w:cs="Times New Roman"/>
    </w:rPr>
  </w:style>
  <w:style w:type="paragraph" w:styleId="18">
    <w:name w:val="Body Text 2"/>
    <w:basedOn w:val="1"/>
    <w:autoRedefine/>
    <w:qFormat/>
    <w:uiPriority w:val="0"/>
    <w:pPr>
      <w:spacing w:after="120" w:line="480" w:lineRule="auto"/>
    </w:pPr>
    <w:rPr>
      <w:rFonts w:ascii="Times New Roman" w:hAnsi="Times New Roman"/>
      <w:szCs w:val="24"/>
    </w:rPr>
  </w:style>
  <w:style w:type="paragraph" w:styleId="1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0">
    <w:name w:val="Body Text First Indent 2"/>
    <w:basedOn w:val="12"/>
    <w:next w:val="1"/>
    <w:autoRedefine/>
    <w:qFormat/>
    <w:uiPriority w:val="0"/>
    <w:pPr>
      <w:widowControl w:val="0"/>
      <w:overflowPunct/>
      <w:autoSpaceDE/>
      <w:autoSpaceDN/>
      <w:adjustRightInd/>
      <w:spacing w:after="120" w:afterLines="0" w:line="240" w:lineRule="auto"/>
      <w:ind w:left="420" w:leftChars="200" w:firstLine="420" w:firstLineChars="200"/>
      <w:textAlignment w:val="auto"/>
    </w:pPr>
    <w:rPr>
      <w:rFonts w:ascii="Times New Roman" w:hAnsi="Times New Roman"/>
      <w:kern w:val="2"/>
      <w:sz w:val="21"/>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page number"/>
    <w:autoRedefine/>
    <w:qFormat/>
    <w:uiPriority w:val="0"/>
    <w:rPr>
      <w:rFonts w:ascii="Calibri" w:hAnsi="Calibri" w:eastAsia="宋体" w:cs="Times New Roman"/>
    </w:rPr>
  </w:style>
  <w:style w:type="character" w:styleId="26">
    <w:name w:val="Hyperlink"/>
    <w:autoRedefine/>
    <w:qFormat/>
    <w:uiPriority w:val="99"/>
    <w:rPr>
      <w:rFonts w:ascii="Calibri" w:hAnsi="Calibri" w:eastAsia="宋体" w:cs="Times New Roman"/>
      <w:color w:val="0000FF"/>
      <w:u w:val="single"/>
    </w:rPr>
  </w:style>
  <w:style w:type="paragraph" w:customStyle="1" w:styleId="27">
    <w:name w:val="Normal Indent1"/>
    <w:basedOn w:val="1"/>
    <w:qFormat/>
    <w:uiPriority w:val="0"/>
    <w:pPr>
      <w:widowControl/>
      <w:ind w:firstLine="420"/>
    </w:pPr>
    <w:rPr>
      <w:rFonts w:ascii="宋体" w:hAnsi="Times New Roman" w:eastAsia="宋体" w:cs="Times New Roman"/>
      <w:kern w:val="0"/>
      <w:sz w:val="20"/>
    </w:rPr>
  </w:style>
  <w:style w:type="character" w:customStyle="1" w:styleId="28">
    <w:name w:val="NormalCharacter"/>
    <w:autoRedefine/>
    <w:semiHidden/>
    <w:qFormat/>
    <w:uiPriority w:val="0"/>
  </w:style>
  <w:style w:type="paragraph" w:customStyle="1" w:styleId="29">
    <w:name w:val="Heading3"/>
    <w:basedOn w:val="1"/>
    <w:next w:val="1"/>
    <w:autoRedefine/>
    <w:qFormat/>
    <w:uiPriority w:val="0"/>
    <w:pPr>
      <w:keepNext/>
      <w:keepLines/>
      <w:widowControl/>
      <w:spacing w:before="260" w:after="260" w:line="412" w:lineRule="auto"/>
    </w:pPr>
    <w:rPr>
      <w:rFonts w:ascii="Times New Roman" w:hAnsi="Times New Roman"/>
      <w:b/>
      <w:bCs/>
      <w:sz w:val="32"/>
      <w:szCs w:val="32"/>
    </w:rPr>
  </w:style>
  <w:style w:type="paragraph" w:customStyle="1" w:styleId="3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正文-公1"/>
    <w:basedOn w:val="1"/>
    <w:next w:val="1"/>
    <w:autoRedefine/>
    <w:qFormat/>
    <w:uiPriority w:val="0"/>
    <w:pPr>
      <w:ind w:firstLine="200"/>
      <w:jc w:val="left"/>
    </w:pPr>
    <w:rPr>
      <w:rFonts w:eastAsia="仿宋_GB2312"/>
    </w:rPr>
  </w:style>
  <w:style w:type="paragraph" w:customStyle="1" w:styleId="32">
    <w:name w:val="CM91"/>
    <w:basedOn w:val="30"/>
    <w:next w:val="30"/>
    <w:autoRedefine/>
    <w:qFormat/>
    <w:uiPriority w:val="0"/>
    <w:pPr>
      <w:spacing w:after="160" w:afterLines="0"/>
    </w:pPr>
    <w:rPr>
      <w:rFonts w:ascii="Calibri" w:hAnsi="Calibri" w:eastAsia="宋体" w:cs="Times New Roman"/>
      <w:color w:val="auto"/>
    </w:rPr>
  </w:style>
  <w:style w:type="paragraph" w:customStyle="1" w:styleId="33">
    <w:name w:val="CM97"/>
    <w:basedOn w:val="30"/>
    <w:next w:val="30"/>
    <w:qFormat/>
    <w:uiPriority w:val="0"/>
    <w:pPr>
      <w:spacing w:after="373" w:afterLines="0"/>
    </w:pPr>
    <w:rPr>
      <w:rFonts w:ascii="Calibri" w:hAnsi="Calibri" w:eastAsia="宋体" w:cs="Times New Roman"/>
      <w:color w:val="auto"/>
    </w:rPr>
  </w:style>
  <w:style w:type="paragraph" w:customStyle="1" w:styleId="34">
    <w:name w:val="CM99"/>
    <w:basedOn w:val="30"/>
    <w:next w:val="30"/>
    <w:qFormat/>
    <w:uiPriority w:val="0"/>
    <w:pPr>
      <w:spacing w:after="443"/>
    </w:pPr>
    <w:rPr>
      <w:rFonts w:ascii="Calibri" w:hAnsi="Calibri" w:eastAsia="宋体" w:cs="Times New Roman"/>
      <w:color w:val="auto"/>
    </w:rPr>
  </w:style>
  <w:style w:type="paragraph" w:customStyle="1" w:styleId="35">
    <w:name w:val="纯文本1"/>
    <w:basedOn w:val="1"/>
    <w:qFormat/>
    <w:uiPriority w:val="0"/>
    <w:pPr>
      <w:adjustRightInd w:val="0"/>
      <w:textAlignment w:val="baseline"/>
    </w:pPr>
    <w:rPr>
      <w:rFonts w:ascii="宋体" w:hAnsi="Times New Roman"/>
      <w:kern w:val="0"/>
      <w:sz w:val="24"/>
    </w:rPr>
  </w:style>
  <w:style w:type="paragraph" w:customStyle="1" w:styleId="36">
    <w:name w:val="Blockquote"/>
    <w:basedOn w:val="1"/>
    <w:qFormat/>
    <w:uiPriority w:val="99"/>
    <w:pPr>
      <w:autoSpaceDE w:val="0"/>
      <w:autoSpaceDN w:val="0"/>
      <w:adjustRightInd w:val="0"/>
      <w:spacing w:before="100" w:after="100"/>
      <w:ind w:left="360" w:right="360"/>
      <w:jc w:val="left"/>
    </w:pPr>
    <w:rPr>
      <w:rFonts w:ascii="Times New Roman" w:hAnsi="Times New Roman"/>
      <w:kern w:val="0"/>
      <w:sz w:val="24"/>
    </w:rPr>
  </w:style>
  <w:style w:type="paragraph" w:customStyle="1" w:styleId="37">
    <w:name w:val="Char4"/>
    <w:basedOn w:val="1"/>
    <w:qFormat/>
    <w:uiPriority w:val="0"/>
    <w:rPr>
      <w:rFonts w:ascii="Times New Roman" w:hAnsi="Times New Roman"/>
    </w:rPr>
  </w:style>
  <w:style w:type="character" w:customStyle="1" w:styleId="38">
    <w:name w:val="标题 1 字符1"/>
    <w:link w:val="4"/>
    <w:qFormat/>
    <w:uiPriority w:val="0"/>
    <w:rPr>
      <w:b/>
      <w:bCs/>
      <w:kern w:val="44"/>
      <w:sz w:val="36"/>
      <w:szCs w:val="44"/>
    </w:rPr>
  </w:style>
  <w:style w:type="character" w:customStyle="1" w:styleId="39">
    <w:name w:val="不明显强调1"/>
    <w:qFormat/>
    <w:uiPriority w:val="19"/>
    <w:rPr>
      <w:rFonts w:ascii="Calibri" w:hAnsi="Calibri" w:eastAsia="宋体" w:cs="Times New Roman"/>
      <w:i/>
      <w:iCs/>
      <w:color w:val="404040"/>
    </w:rPr>
  </w:style>
  <w:style w:type="character" w:customStyle="1" w:styleId="40">
    <w:name w:val="font61"/>
    <w:basedOn w:val="23"/>
    <w:qFormat/>
    <w:uiPriority w:val="0"/>
    <w:rPr>
      <w:rFonts w:hint="default" w:ascii="Times New Roman" w:hAnsi="Times New Roman" w:cs="Times New Roman"/>
      <w:b/>
      <w:bCs/>
      <w:color w:val="000000"/>
      <w:sz w:val="21"/>
      <w:szCs w:val="21"/>
      <w:u w:val="none"/>
    </w:rPr>
  </w:style>
  <w:style w:type="character" w:customStyle="1" w:styleId="41">
    <w:name w:val="font71"/>
    <w:basedOn w:val="23"/>
    <w:qFormat/>
    <w:uiPriority w:val="0"/>
    <w:rPr>
      <w:rFonts w:hint="default" w:ascii="Times New Roman" w:hAnsi="Times New Roman" w:cs="Times New Roman"/>
      <w:b/>
      <w:bCs/>
      <w:color w:val="000000"/>
      <w:sz w:val="21"/>
      <w:szCs w:val="21"/>
      <w:u w:val="none"/>
      <w:vertAlign w:val="superscript"/>
    </w:rPr>
  </w:style>
  <w:style w:type="character" w:customStyle="1" w:styleId="42">
    <w:name w:val="font11"/>
    <w:basedOn w:val="23"/>
    <w:qFormat/>
    <w:uiPriority w:val="0"/>
    <w:rPr>
      <w:rFonts w:hint="eastAsia" w:ascii="宋体" w:hAnsi="宋体" w:eastAsia="宋体" w:cs="宋体"/>
      <w:b/>
      <w:bCs/>
      <w:color w:val="000000"/>
      <w:sz w:val="21"/>
      <w:szCs w:val="21"/>
      <w:u w:val="none"/>
    </w:rPr>
  </w:style>
  <w:style w:type="character" w:customStyle="1" w:styleId="43">
    <w:name w:val="font31"/>
    <w:basedOn w:val="23"/>
    <w:qFormat/>
    <w:uiPriority w:val="0"/>
    <w:rPr>
      <w:rFonts w:hint="default" w:ascii="Times New Roman" w:hAnsi="Times New Roman" w:cs="Times New Roman"/>
      <w:color w:val="000000"/>
      <w:sz w:val="21"/>
      <w:szCs w:val="21"/>
      <w:u w:val="none"/>
    </w:rPr>
  </w:style>
  <w:style w:type="character" w:customStyle="1" w:styleId="44">
    <w:name w:val="font21"/>
    <w:basedOn w:val="2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110</Pages>
  <Words>5884</Words>
  <Characters>6545</Characters>
  <Lines>0</Lines>
  <Paragraphs>0</Paragraphs>
  <TotalTime>9</TotalTime>
  <ScaleCrop>false</ScaleCrop>
  <LinksUpToDate>false</LinksUpToDate>
  <CharactersWithSpaces>6644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2024-12-04T02:21:00Z</dcterms:created>
  <dc:creator>彭超</dc:creator>
  <cp:lastModifiedBy>Admin</cp:lastModifiedBy>
  <dcterms:modified xsi:type="dcterms:W3CDTF">2025-04-25T06:52:40Z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7D1579051D964721BE8139970BA48723_13</vt:lpwstr>
  </property>
  <property fmtid="{D5CDD505-2E9C-101B-9397-08002B2CF9AE}" pid="4" name="KSOTemplateDocerSaveRecord">
    <vt:lpwstr>eyJoZGlkIjoiMTIyOTkzZGI3YTQ0YmQ1MzM5ZDJlNjY2ZmJmN2E0NDgiLCJ1c2VySWQiOiIyNTUzNzEyNjkifQ==</vt:lpwstr>
  </property>
</Properties>
</file>