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02810">
      <w:pPr>
        <w:snapToGrid w:val="0"/>
        <w:spacing w:line="360" w:lineRule="auto"/>
        <w:ind w:firstLine="420"/>
        <w:jc w:val="center"/>
        <w:rPr>
          <w:rFonts w:hint="eastAsia" w:ascii="宋体" w:eastAsia="宋体" w:cs="宋体"/>
          <w:b/>
          <w:bCs/>
          <w:sz w:val="48"/>
          <w:szCs w:val="48"/>
          <w:highlight w:val="none"/>
          <w:lang w:val="zh-CN"/>
        </w:rPr>
      </w:pPr>
    </w:p>
    <w:p w14:paraId="3EE065D6">
      <w:pPr>
        <w:snapToGrid w:val="0"/>
        <w:jc w:val="center"/>
        <w:rPr>
          <w:rFonts w:hint="eastAsia" w:ascii="宋体" w:eastAsia="宋体" w:cs="宋体"/>
          <w:color w:val="000000"/>
          <w:sz w:val="48"/>
          <w:szCs w:val="48"/>
          <w:highlight w:val="none"/>
          <w:shd w:val="clear" w:color="auto" w:fill="FFFFFF"/>
        </w:rPr>
      </w:pPr>
      <w:r>
        <w:rPr>
          <w:rFonts w:hint="eastAsia" w:ascii="宋体" w:eastAsia="宋体" w:cs="宋体"/>
          <w:color w:val="000000"/>
          <w:sz w:val="48"/>
          <w:szCs w:val="48"/>
          <w:highlight w:val="none"/>
          <w:shd w:val="clear" w:color="auto" w:fill="FFFFFF"/>
        </w:rPr>
        <w:t>巨化集团有限公司202</w:t>
      </w:r>
      <w:r>
        <w:rPr>
          <w:rFonts w:ascii="宋体" w:cs="宋体"/>
          <w:color w:val="000000"/>
          <w:sz w:val="48"/>
          <w:szCs w:val="48"/>
          <w:highlight w:val="none"/>
          <w:shd w:val="clear" w:color="auto" w:fill="FFFFFF"/>
          <w:lang w:val="en-US" w:eastAsia="zh-CN"/>
        </w:rPr>
        <w:t>5</w:t>
      </w:r>
      <w:r>
        <w:rPr>
          <w:rFonts w:hint="eastAsia" w:ascii="宋体" w:eastAsia="宋体" w:cs="宋体"/>
          <w:color w:val="000000"/>
          <w:sz w:val="48"/>
          <w:szCs w:val="48"/>
          <w:highlight w:val="none"/>
          <w:shd w:val="clear" w:color="auto" w:fill="FFFFFF"/>
        </w:rPr>
        <w:t>年度危险废物处置利用入围服务商</w:t>
      </w:r>
    </w:p>
    <w:p w14:paraId="1FBB94B2">
      <w:pPr>
        <w:pStyle w:val="2"/>
        <w:ind w:left="0" w:firstLine="0" w:firstLineChars="0"/>
        <w:jc w:val="both"/>
        <w:rPr>
          <w:rFonts w:hint="eastAsia" w:ascii="宋体" w:eastAsia="宋体" w:cs="宋体"/>
          <w:color w:val="000000"/>
          <w:spacing w:val="0"/>
          <w:sz w:val="48"/>
          <w:szCs w:val="48"/>
          <w:highlight w:val="none"/>
          <w:shd w:val="clear" w:color="auto" w:fill="FFFFFF"/>
        </w:rPr>
      </w:pPr>
    </w:p>
    <w:p w14:paraId="2FD0D2BB">
      <w:pPr>
        <w:pStyle w:val="2"/>
        <w:jc w:val="center"/>
        <w:rPr>
          <w:rFonts w:hint="eastAsia" w:ascii="宋体" w:eastAsia="宋体" w:cs="宋体"/>
          <w:color w:val="000000"/>
          <w:spacing w:val="0"/>
          <w:sz w:val="48"/>
          <w:szCs w:val="48"/>
          <w:highlight w:val="none"/>
          <w:shd w:val="clear" w:color="auto" w:fill="FFFFFF"/>
        </w:rPr>
      </w:pPr>
    </w:p>
    <w:p w14:paraId="0CBC458A">
      <w:pPr>
        <w:pStyle w:val="2"/>
        <w:jc w:val="center"/>
        <w:rPr>
          <w:rFonts w:hint="eastAsia" w:ascii="宋体" w:eastAsia="宋体" w:cs="宋体"/>
          <w:highlight w:val="none"/>
        </w:rPr>
      </w:pPr>
      <w:r>
        <w:rPr>
          <w:rFonts w:hint="eastAsia" w:ascii="宋体" w:eastAsia="宋体" w:cs="宋体"/>
          <w:color w:val="000000"/>
          <w:spacing w:val="0"/>
          <w:sz w:val="48"/>
          <w:szCs w:val="48"/>
          <w:highlight w:val="none"/>
          <w:shd w:val="clear" w:color="auto" w:fill="FFFFFF"/>
        </w:rPr>
        <w:t>招标文件</w:t>
      </w:r>
    </w:p>
    <w:p w14:paraId="2BAF3A2F">
      <w:pPr>
        <w:snapToGrid w:val="0"/>
        <w:jc w:val="center"/>
        <w:rPr>
          <w:rFonts w:hint="eastAsia" w:ascii="宋体" w:eastAsia="宋体" w:cs="宋体"/>
          <w:sz w:val="32"/>
          <w:szCs w:val="32"/>
          <w:highlight w:val="none"/>
        </w:rPr>
      </w:pPr>
    </w:p>
    <w:p w14:paraId="6724BB73">
      <w:pPr>
        <w:snapToGrid w:val="0"/>
        <w:jc w:val="center"/>
        <w:rPr>
          <w:rFonts w:hint="eastAsia" w:ascii="宋体" w:eastAsia="宋体" w:cs="宋体"/>
          <w:sz w:val="32"/>
          <w:szCs w:val="32"/>
          <w:highlight w:val="none"/>
        </w:rPr>
      </w:pPr>
      <w:r>
        <w:rPr>
          <w:rFonts w:hint="eastAsia" w:ascii="宋体" w:eastAsia="宋体" w:cs="宋体"/>
          <w:sz w:val="32"/>
          <w:szCs w:val="32"/>
          <w:highlight w:val="none"/>
        </w:rPr>
        <w:t>（招标编号：NFZB-</w:t>
      </w:r>
      <w:r>
        <w:rPr>
          <w:rFonts w:hint="eastAsia" w:ascii="宋体" w:cs="宋体"/>
          <w:sz w:val="32"/>
          <w:szCs w:val="32"/>
          <w:highlight w:val="none"/>
          <w:lang w:eastAsia="zh-CN"/>
        </w:rPr>
        <w:t>20250325</w:t>
      </w:r>
      <w:r>
        <w:rPr>
          <w:rFonts w:hint="eastAsia" w:ascii="宋体" w:eastAsia="宋体" w:cs="宋体"/>
          <w:sz w:val="32"/>
          <w:szCs w:val="32"/>
          <w:highlight w:val="none"/>
        </w:rPr>
        <w:t>）</w:t>
      </w:r>
    </w:p>
    <w:p w14:paraId="0816BB96">
      <w:pPr>
        <w:snapToGrid w:val="0"/>
        <w:jc w:val="center"/>
        <w:rPr>
          <w:rFonts w:hint="eastAsia" w:ascii="宋体" w:eastAsia="宋体" w:cs="宋体"/>
          <w:sz w:val="32"/>
          <w:highlight w:val="none"/>
        </w:rPr>
      </w:pPr>
    </w:p>
    <w:p w14:paraId="3E62C65B">
      <w:pPr>
        <w:snapToGrid w:val="0"/>
        <w:jc w:val="center"/>
        <w:rPr>
          <w:rFonts w:hint="eastAsia" w:ascii="宋体" w:eastAsia="宋体" w:cs="宋体"/>
          <w:sz w:val="32"/>
          <w:highlight w:val="none"/>
        </w:rPr>
      </w:pPr>
    </w:p>
    <w:p w14:paraId="4BAD70E7">
      <w:pPr>
        <w:snapToGrid w:val="0"/>
        <w:jc w:val="center"/>
        <w:rPr>
          <w:rFonts w:hint="eastAsia" w:ascii="宋体" w:eastAsia="宋体" w:cs="宋体"/>
          <w:sz w:val="32"/>
          <w:highlight w:val="none"/>
        </w:rPr>
      </w:pPr>
    </w:p>
    <w:p w14:paraId="16120C7F">
      <w:pPr>
        <w:snapToGrid w:val="0"/>
        <w:jc w:val="center"/>
        <w:rPr>
          <w:rFonts w:hint="eastAsia" w:ascii="宋体" w:eastAsia="宋体" w:cs="宋体"/>
          <w:sz w:val="32"/>
          <w:highlight w:val="none"/>
        </w:rPr>
      </w:pPr>
    </w:p>
    <w:p w14:paraId="4F2AD1D6">
      <w:pPr>
        <w:pStyle w:val="106"/>
        <w:snapToGrid w:val="0"/>
        <w:spacing w:line="480" w:lineRule="auto"/>
        <w:rPr>
          <w:rFonts w:hint="eastAsia" w:ascii="宋体" w:eastAsia="宋体" w:cs="宋体"/>
          <w:sz w:val="28"/>
          <w:szCs w:val="28"/>
          <w:highlight w:val="none"/>
        </w:rPr>
      </w:pPr>
    </w:p>
    <w:p w14:paraId="146D6FA0">
      <w:pPr>
        <w:pStyle w:val="106"/>
        <w:snapToGrid w:val="0"/>
        <w:rPr>
          <w:rFonts w:hint="eastAsia" w:ascii="宋体" w:eastAsia="宋体" w:cs="宋体"/>
          <w:spacing w:val="-8"/>
          <w:sz w:val="32"/>
          <w:highlight w:val="none"/>
        </w:rPr>
      </w:pPr>
    </w:p>
    <w:tbl>
      <w:tblPr>
        <w:tblStyle w:val="2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14"/>
        <w:gridCol w:w="5198"/>
      </w:tblGrid>
      <w:tr w14:paraId="1853F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1914" w:type="dxa"/>
            <w:noWrap/>
            <w:vAlign w:val="center"/>
          </w:tcPr>
          <w:p w14:paraId="10732AA3">
            <w:pPr>
              <w:spacing w:line="440" w:lineRule="exact"/>
              <w:jc w:val="distribute"/>
              <w:rPr>
                <w:rFonts w:hint="eastAsia" w:ascii="宋体" w:eastAsia="宋体" w:cs="宋体"/>
                <w:b/>
                <w:sz w:val="28"/>
                <w:szCs w:val="28"/>
                <w:highlight w:val="none"/>
              </w:rPr>
            </w:pPr>
            <w:r>
              <w:rPr>
                <w:rFonts w:hint="eastAsia" w:ascii="宋体" w:eastAsia="宋体" w:cs="宋体"/>
                <w:b/>
                <w:sz w:val="28"/>
                <w:szCs w:val="28"/>
                <w:highlight w:val="none"/>
              </w:rPr>
              <w:t>招标人：</w:t>
            </w:r>
          </w:p>
        </w:tc>
        <w:tc>
          <w:tcPr>
            <w:tcW w:w="5198" w:type="dxa"/>
            <w:noWrap/>
            <w:vAlign w:val="center"/>
          </w:tcPr>
          <w:p w14:paraId="58EFC6D8">
            <w:pPr>
              <w:spacing w:line="440" w:lineRule="exact"/>
              <w:jc w:val="distribute"/>
              <w:rPr>
                <w:rFonts w:hint="eastAsia" w:ascii="宋体" w:eastAsia="宋体" w:cs="宋体"/>
                <w:b/>
                <w:sz w:val="28"/>
                <w:szCs w:val="28"/>
                <w:highlight w:val="none"/>
              </w:rPr>
            </w:pPr>
            <w:r>
              <w:rPr>
                <w:rFonts w:hint="eastAsia" w:ascii="宋体" w:eastAsia="宋体" w:cs="宋体"/>
                <w:b/>
                <w:sz w:val="28"/>
                <w:szCs w:val="28"/>
                <w:highlight w:val="none"/>
                <w:lang w:val="en-US" w:eastAsia="zh-CN"/>
              </w:rPr>
              <w:t>巨化集团有限公司</w:t>
            </w:r>
          </w:p>
        </w:tc>
      </w:tr>
      <w:tr w14:paraId="7D25F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1914" w:type="dxa"/>
            <w:tcBorders>
              <w:top w:val="nil"/>
            </w:tcBorders>
            <w:noWrap/>
          </w:tcPr>
          <w:p w14:paraId="2ADF4201">
            <w:pPr>
              <w:spacing w:line="440" w:lineRule="exact"/>
              <w:rPr>
                <w:rFonts w:hint="eastAsia" w:ascii="宋体" w:eastAsia="宋体" w:cs="宋体"/>
                <w:b/>
                <w:sz w:val="28"/>
                <w:szCs w:val="28"/>
                <w:highlight w:val="none"/>
              </w:rPr>
            </w:pPr>
            <w:r>
              <w:rPr>
                <w:rFonts w:hint="eastAsia" w:ascii="宋体" w:eastAsia="宋体" w:cs="宋体"/>
                <w:b/>
                <w:sz w:val="28"/>
                <w:szCs w:val="28"/>
                <w:highlight w:val="none"/>
              </w:rPr>
              <w:t>招标机构：</w:t>
            </w:r>
          </w:p>
        </w:tc>
        <w:tc>
          <w:tcPr>
            <w:tcW w:w="5198" w:type="dxa"/>
            <w:tcBorders>
              <w:top w:val="nil"/>
            </w:tcBorders>
            <w:noWrap/>
          </w:tcPr>
          <w:p w14:paraId="30ABE011">
            <w:pPr>
              <w:spacing w:line="440" w:lineRule="exact"/>
              <w:jc w:val="distribute"/>
              <w:rPr>
                <w:rFonts w:hint="eastAsia" w:ascii="宋体" w:eastAsia="宋体" w:cs="宋体"/>
                <w:b/>
                <w:sz w:val="28"/>
                <w:szCs w:val="28"/>
                <w:highlight w:val="none"/>
              </w:rPr>
            </w:pPr>
            <w:r>
              <w:rPr>
                <w:rFonts w:hint="eastAsia" w:ascii="宋体" w:eastAsia="宋体" w:cs="宋体"/>
                <w:b/>
                <w:sz w:val="28"/>
                <w:szCs w:val="28"/>
                <w:highlight w:val="none"/>
              </w:rPr>
              <w:t>浙江南方工程咨询管理有限公司</w:t>
            </w:r>
          </w:p>
        </w:tc>
      </w:tr>
      <w:tr w14:paraId="2EDFE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1914" w:type="dxa"/>
            <w:tcBorders>
              <w:top w:val="nil"/>
            </w:tcBorders>
            <w:noWrap/>
          </w:tcPr>
          <w:p w14:paraId="722F443B">
            <w:pPr>
              <w:spacing w:line="440" w:lineRule="exact"/>
              <w:jc w:val="distribute"/>
              <w:rPr>
                <w:rFonts w:hint="eastAsia" w:ascii="宋体" w:eastAsia="宋体" w:cs="宋体"/>
                <w:b/>
                <w:sz w:val="28"/>
                <w:szCs w:val="28"/>
                <w:highlight w:val="none"/>
              </w:rPr>
            </w:pPr>
            <w:r>
              <w:rPr>
                <w:rFonts w:hint="eastAsia" w:ascii="宋体" w:eastAsia="宋体" w:cs="宋体"/>
                <w:b/>
                <w:sz w:val="28"/>
                <w:szCs w:val="28"/>
                <w:highlight w:val="none"/>
              </w:rPr>
              <w:t>审核单位：</w:t>
            </w:r>
          </w:p>
        </w:tc>
        <w:tc>
          <w:tcPr>
            <w:tcW w:w="5198" w:type="dxa"/>
            <w:tcBorders>
              <w:top w:val="nil"/>
            </w:tcBorders>
            <w:noWrap/>
          </w:tcPr>
          <w:p w14:paraId="57EA5A64">
            <w:pPr>
              <w:spacing w:line="440" w:lineRule="exact"/>
              <w:jc w:val="distribute"/>
              <w:rPr>
                <w:rFonts w:hint="eastAsia" w:ascii="宋体" w:eastAsia="宋体" w:cs="宋体"/>
                <w:b/>
                <w:sz w:val="28"/>
                <w:szCs w:val="28"/>
                <w:highlight w:val="none"/>
              </w:rPr>
            </w:pPr>
            <w:r>
              <w:rPr>
                <w:rFonts w:hint="eastAsia" w:ascii="宋体" w:eastAsia="宋体" w:cs="宋体"/>
                <w:b/>
                <w:sz w:val="28"/>
                <w:szCs w:val="28"/>
                <w:highlight w:val="none"/>
              </w:rPr>
              <w:t>巨化招标办公室</w:t>
            </w:r>
          </w:p>
        </w:tc>
      </w:tr>
    </w:tbl>
    <w:p w14:paraId="03B8D395">
      <w:pPr>
        <w:pStyle w:val="106"/>
        <w:snapToGrid w:val="0"/>
        <w:spacing w:line="480" w:lineRule="auto"/>
        <w:rPr>
          <w:rFonts w:hint="eastAsia" w:ascii="宋体" w:eastAsia="宋体" w:cs="宋体"/>
          <w:sz w:val="28"/>
          <w:szCs w:val="28"/>
          <w:highlight w:val="none"/>
        </w:rPr>
      </w:pPr>
    </w:p>
    <w:p w14:paraId="7451E2E4">
      <w:pPr>
        <w:snapToGrid w:val="0"/>
        <w:spacing w:line="480" w:lineRule="auto"/>
        <w:ind w:firstLine="3373" w:firstLineChars="1200"/>
        <w:rPr>
          <w:rFonts w:hint="eastAsia" w:ascii="宋体" w:eastAsia="宋体" w:cs="宋体"/>
          <w:b/>
          <w:kern w:val="0"/>
          <w:sz w:val="44"/>
          <w:szCs w:val="20"/>
          <w:highlight w:val="none"/>
        </w:rPr>
      </w:pPr>
      <w:r>
        <w:rPr>
          <w:rFonts w:hint="eastAsia" w:ascii="宋体" w:eastAsia="宋体" w:cs="宋体"/>
          <w:b/>
          <w:sz w:val="28"/>
          <w:szCs w:val="28"/>
          <w:highlight w:val="none"/>
        </w:rPr>
        <w:t>日期：</w:t>
      </w:r>
      <w:r>
        <w:rPr>
          <w:rFonts w:hint="eastAsia" w:ascii="宋体" w:eastAsia="宋体" w:cs="宋体"/>
          <w:sz w:val="28"/>
          <w:szCs w:val="28"/>
          <w:highlight w:val="none"/>
        </w:rPr>
        <w:t xml:space="preserve">  </w:t>
      </w:r>
      <w:r>
        <w:rPr>
          <w:rFonts w:hint="eastAsia" w:ascii="宋体" w:eastAsia="宋体" w:cs="宋体"/>
          <w:b/>
          <w:sz w:val="28"/>
          <w:szCs w:val="28"/>
          <w:highlight w:val="none"/>
        </w:rPr>
        <w:t>202</w:t>
      </w:r>
      <w:r>
        <w:rPr>
          <w:rFonts w:ascii="宋体" w:cs="宋体"/>
          <w:b/>
          <w:sz w:val="28"/>
          <w:szCs w:val="28"/>
          <w:highlight w:val="none"/>
          <w:lang w:val="en-US" w:eastAsia="zh-CN"/>
        </w:rPr>
        <w:t>5</w:t>
      </w:r>
      <w:r>
        <w:rPr>
          <w:rFonts w:hint="eastAsia" w:ascii="宋体" w:eastAsia="宋体" w:cs="宋体"/>
          <w:b/>
          <w:sz w:val="28"/>
          <w:szCs w:val="28"/>
          <w:highlight w:val="none"/>
        </w:rPr>
        <w:t>年</w:t>
      </w:r>
      <w:r>
        <w:rPr>
          <w:rFonts w:hint="eastAsia" w:ascii="宋体" w:cs="宋体"/>
          <w:b/>
          <w:sz w:val="28"/>
          <w:szCs w:val="28"/>
          <w:highlight w:val="none"/>
          <w:lang w:val="en-US" w:eastAsia="zh-CN"/>
        </w:rPr>
        <w:t>4</w:t>
      </w:r>
      <w:r>
        <w:rPr>
          <w:rFonts w:hint="eastAsia" w:ascii="宋体" w:eastAsia="宋体" w:cs="宋体"/>
          <w:b/>
          <w:sz w:val="28"/>
          <w:szCs w:val="28"/>
          <w:highlight w:val="none"/>
        </w:rPr>
        <w:t>月</w:t>
      </w:r>
    </w:p>
    <w:p w14:paraId="3A689815">
      <w:pPr>
        <w:pStyle w:val="34"/>
        <w:snapToGrid w:val="0"/>
        <w:ind w:left="210" w:leftChars="100"/>
        <w:rPr>
          <w:rFonts w:hint="eastAsia" w:ascii="宋体" w:eastAsia="宋体" w:cs="宋体"/>
          <w:highlight w:val="none"/>
        </w:rPr>
      </w:pPr>
    </w:p>
    <w:p w14:paraId="2E37FDB1">
      <w:pPr>
        <w:pStyle w:val="35"/>
        <w:rPr>
          <w:rFonts w:hint="eastAsia" w:ascii="宋体" w:eastAsia="宋体" w:cs="宋体"/>
          <w:highlight w:val="none"/>
        </w:rPr>
      </w:pPr>
    </w:p>
    <w:p w14:paraId="2ED47120">
      <w:pPr>
        <w:pStyle w:val="35"/>
        <w:rPr>
          <w:rFonts w:hint="eastAsia" w:ascii="宋体" w:eastAsia="宋体" w:cs="宋体"/>
          <w:highlight w:val="none"/>
        </w:rPr>
      </w:pPr>
    </w:p>
    <w:p w14:paraId="6347644E">
      <w:pPr>
        <w:pStyle w:val="35"/>
        <w:rPr>
          <w:rFonts w:hint="eastAsia" w:ascii="宋体" w:eastAsia="宋体" w:cs="宋体"/>
          <w:highlight w:val="none"/>
        </w:rPr>
      </w:pPr>
    </w:p>
    <w:p w14:paraId="7661A09C">
      <w:pPr>
        <w:pStyle w:val="35"/>
        <w:rPr>
          <w:rFonts w:hint="eastAsia" w:ascii="宋体" w:eastAsia="宋体" w:cs="宋体"/>
          <w:highlight w:val="none"/>
        </w:rPr>
      </w:pPr>
    </w:p>
    <w:p w14:paraId="59AED79F">
      <w:pPr>
        <w:pStyle w:val="34"/>
        <w:keepNext/>
        <w:keepLines/>
        <w:pageBreakBefore w:val="0"/>
        <w:widowControl/>
        <w:kinsoku/>
        <w:wordWrap/>
        <w:overflowPunct/>
        <w:topLinePunct w:val="0"/>
        <w:autoSpaceDE/>
        <w:autoSpaceDN/>
        <w:bidi w:val="0"/>
        <w:adjustRightInd/>
        <w:snapToGrid w:val="0"/>
        <w:spacing w:line="360" w:lineRule="auto"/>
        <w:ind w:left="210" w:leftChars="100"/>
        <w:outlineLvl w:val="0"/>
        <w:rPr>
          <w:rFonts w:hint="eastAsia" w:ascii="宋体" w:eastAsia="宋体" w:cs="宋体"/>
          <w:sz w:val="36"/>
          <w:szCs w:val="36"/>
          <w:highlight w:val="none"/>
        </w:rPr>
      </w:pPr>
      <w:bookmarkStart w:id="0" w:name="_Toc31850"/>
      <w:r>
        <w:rPr>
          <w:rFonts w:hint="eastAsia" w:ascii="宋体" w:eastAsia="宋体" w:cs="宋体"/>
          <w:sz w:val="36"/>
          <w:szCs w:val="36"/>
          <w:highlight w:val="none"/>
        </w:rPr>
        <w:t>目    录</w:t>
      </w:r>
      <w:bookmarkEnd w:id="0"/>
    </w:p>
    <w:sdt>
      <w:sdtPr>
        <w:rPr>
          <w:rFonts w:ascii="宋体" w:eastAsia="宋体" w:cs="Arial"/>
          <w:kern w:val="2"/>
          <w:sz w:val="30"/>
          <w:szCs w:val="30"/>
          <w:highlight w:val="none"/>
          <w:lang w:val="en-US" w:eastAsia="zh-CN" w:bidi="ar-SA"/>
        </w:rPr>
        <w:id w:val="1791129662"/>
        <w15:color w:val="DBDBDB"/>
        <w:docPartObj>
          <w:docPartGallery w:val="Table of Contents"/>
          <w:docPartUnique/>
        </w:docPartObj>
      </w:sdtPr>
      <w:sdtEndPr>
        <w:rPr>
          <w:rFonts w:hint="eastAsia" w:ascii="宋体" w:eastAsia="宋体" w:cs="宋体"/>
          <w:kern w:val="2"/>
          <w:sz w:val="21"/>
          <w:szCs w:val="28"/>
          <w:highlight w:val="none"/>
          <w:lang w:val="en-US" w:eastAsia="zh-CN" w:bidi="ar-SA"/>
        </w:rPr>
      </w:sdtEndPr>
      <w:sdtContent>
        <w:p w14:paraId="755ECBBC">
          <w:pPr>
            <w:pageBreakBefore w:val="0"/>
            <w:widowControl/>
            <w:kinsoku/>
            <w:wordWrap/>
            <w:overflowPunct/>
            <w:topLinePunct w:val="0"/>
            <w:autoSpaceDE/>
            <w:autoSpaceDN/>
            <w:bidi w:val="0"/>
            <w:adjustRightInd/>
            <w:spacing w:before="0" w:after="0" w:line="360" w:lineRule="auto"/>
            <w:ind w:left="0" w:right="0" w:firstLine="0"/>
            <w:jc w:val="center"/>
            <w:rPr>
              <w:sz w:val="30"/>
              <w:szCs w:val="30"/>
              <w:highlight w:val="none"/>
            </w:rPr>
          </w:pPr>
        </w:p>
        <w:p w14:paraId="44E4A8C6">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b/>
              <w:sz w:val="30"/>
              <w:szCs w:val="30"/>
              <w:highlight w:val="none"/>
            </w:rPr>
            <w:fldChar w:fldCharType="begin"/>
          </w:r>
          <w:r>
            <w:rPr>
              <w:rFonts w:hint="eastAsia" w:ascii="宋体" w:eastAsia="宋体" w:cs="宋体"/>
              <w:b/>
              <w:sz w:val="30"/>
              <w:szCs w:val="30"/>
              <w:highlight w:val="none"/>
            </w:rPr>
            <w:instrText xml:space="preserve">TOC \o "1-1" \h \u </w:instrText>
          </w:r>
          <w:r>
            <w:rPr>
              <w:rFonts w:hint="eastAsia" w:ascii="宋体" w:eastAsia="宋体" w:cs="宋体"/>
              <w:b/>
              <w:sz w:val="30"/>
              <w:szCs w:val="30"/>
              <w:highlight w:val="none"/>
            </w:rPr>
            <w:fldChar w:fldCharType="separate"/>
          </w: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_Toc26139 </w:instrText>
          </w:r>
          <w:r>
            <w:rPr>
              <w:rFonts w:hint="eastAsia" w:ascii="宋体" w:eastAsia="宋体" w:cs="宋体"/>
              <w:sz w:val="30"/>
              <w:szCs w:val="30"/>
              <w:highlight w:val="none"/>
            </w:rPr>
            <w:fldChar w:fldCharType="separate"/>
          </w:r>
          <w:r>
            <w:rPr>
              <w:rFonts w:hint="eastAsia" w:ascii="宋体" w:cs="宋体"/>
              <w:sz w:val="30"/>
              <w:szCs w:val="30"/>
              <w:highlight w:val="none"/>
            </w:rPr>
            <w:t>电子交易须知</w:t>
          </w:r>
          <w:r>
            <w:rPr>
              <w:sz w:val="30"/>
              <w:szCs w:val="30"/>
              <w:highlight w:val="none"/>
            </w:rPr>
            <w:tab/>
          </w:r>
          <w:r>
            <w:rPr>
              <w:sz w:val="30"/>
              <w:szCs w:val="30"/>
              <w:highlight w:val="none"/>
            </w:rPr>
            <w:fldChar w:fldCharType="begin"/>
          </w:r>
          <w:r>
            <w:rPr>
              <w:sz w:val="30"/>
              <w:szCs w:val="30"/>
              <w:highlight w:val="none"/>
            </w:rPr>
            <w:instrText xml:space="preserve"> PAGEREF _Toc26139 \h </w:instrText>
          </w:r>
          <w:r>
            <w:rPr>
              <w:sz w:val="30"/>
              <w:szCs w:val="30"/>
              <w:highlight w:val="none"/>
            </w:rPr>
            <w:fldChar w:fldCharType="separate"/>
          </w:r>
          <w:r>
            <w:rPr>
              <w:sz w:val="30"/>
              <w:szCs w:val="30"/>
              <w:highlight w:val="none"/>
            </w:rPr>
            <w:t>3</w:t>
          </w:r>
          <w:r>
            <w:rPr>
              <w:sz w:val="30"/>
              <w:szCs w:val="30"/>
              <w:highlight w:val="none"/>
            </w:rPr>
            <w:fldChar w:fldCharType="end"/>
          </w:r>
          <w:r>
            <w:rPr>
              <w:rFonts w:hint="eastAsia" w:ascii="宋体" w:eastAsia="宋体" w:cs="宋体"/>
              <w:sz w:val="30"/>
              <w:szCs w:val="30"/>
              <w:highlight w:val="none"/>
            </w:rPr>
            <w:fldChar w:fldCharType="end"/>
          </w:r>
        </w:p>
        <w:p w14:paraId="14099FC8">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_Toc2222 </w:instrText>
          </w:r>
          <w:r>
            <w:rPr>
              <w:rFonts w:hint="eastAsia" w:ascii="宋体" w:eastAsia="宋体" w:cs="宋体"/>
              <w:sz w:val="30"/>
              <w:szCs w:val="30"/>
              <w:highlight w:val="none"/>
            </w:rPr>
            <w:fldChar w:fldCharType="separate"/>
          </w:r>
          <w:r>
            <w:rPr>
              <w:rFonts w:hint="eastAsia" w:ascii="宋体" w:eastAsia="宋体" w:cs="宋体"/>
              <w:bCs/>
              <w:sz w:val="30"/>
              <w:szCs w:val="30"/>
              <w:highlight w:val="none"/>
            </w:rPr>
            <w:t>第一章 招标公告</w:t>
          </w:r>
          <w:r>
            <w:rPr>
              <w:sz w:val="30"/>
              <w:szCs w:val="30"/>
              <w:highlight w:val="none"/>
            </w:rPr>
            <w:tab/>
          </w:r>
          <w:r>
            <w:rPr>
              <w:sz w:val="30"/>
              <w:szCs w:val="30"/>
              <w:highlight w:val="none"/>
            </w:rPr>
            <w:fldChar w:fldCharType="begin"/>
          </w:r>
          <w:r>
            <w:rPr>
              <w:sz w:val="30"/>
              <w:szCs w:val="30"/>
              <w:highlight w:val="none"/>
            </w:rPr>
            <w:instrText xml:space="preserve"> PAGEREF _Toc2222 \h </w:instrText>
          </w:r>
          <w:r>
            <w:rPr>
              <w:sz w:val="30"/>
              <w:szCs w:val="30"/>
              <w:highlight w:val="none"/>
            </w:rPr>
            <w:fldChar w:fldCharType="separate"/>
          </w:r>
          <w:r>
            <w:rPr>
              <w:sz w:val="30"/>
              <w:szCs w:val="30"/>
              <w:highlight w:val="none"/>
            </w:rPr>
            <w:t>4</w:t>
          </w:r>
          <w:r>
            <w:rPr>
              <w:sz w:val="30"/>
              <w:szCs w:val="30"/>
              <w:highlight w:val="none"/>
            </w:rPr>
            <w:fldChar w:fldCharType="end"/>
          </w:r>
          <w:r>
            <w:rPr>
              <w:rFonts w:hint="eastAsia" w:ascii="宋体" w:eastAsia="宋体" w:cs="宋体"/>
              <w:sz w:val="30"/>
              <w:szCs w:val="30"/>
              <w:highlight w:val="none"/>
            </w:rPr>
            <w:fldChar w:fldCharType="end"/>
          </w:r>
        </w:p>
        <w:p w14:paraId="0A6D04B6">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_Toc13361 </w:instrText>
          </w:r>
          <w:r>
            <w:rPr>
              <w:rFonts w:hint="eastAsia" w:ascii="宋体" w:eastAsia="宋体" w:cs="宋体"/>
              <w:sz w:val="30"/>
              <w:szCs w:val="30"/>
              <w:highlight w:val="none"/>
            </w:rPr>
            <w:fldChar w:fldCharType="separate"/>
          </w:r>
          <w:r>
            <w:rPr>
              <w:rFonts w:hint="eastAsia" w:ascii="宋体" w:eastAsia="宋体" w:cs="宋体"/>
              <w:bCs/>
              <w:sz w:val="30"/>
              <w:szCs w:val="30"/>
              <w:highlight w:val="none"/>
            </w:rPr>
            <w:t>第二章  投标人须知</w:t>
          </w:r>
          <w:r>
            <w:rPr>
              <w:sz w:val="30"/>
              <w:szCs w:val="30"/>
              <w:highlight w:val="none"/>
            </w:rPr>
            <w:tab/>
          </w:r>
          <w:r>
            <w:rPr>
              <w:sz w:val="30"/>
              <w:szCs w:val="30"/>
              <w:highlight w:val="none"/>
            </w:rPr>
            <w:fldChar w:fldCharType="begin"/>
          </w:r>
          <w:r>
            <w:rPr>
              <w:sz w:val="30"/>
              <w:szCs w:val="30"/>
              <w:highlight w:val="none"/>
            </w:rPr>
            <w:instrText xml:space="preserve"> PAGEREF _Toc13361 \h </w:instrText>
          </w:r>
          <w:r>
            <w:rPr>
              <w:sz w:val="30"/>
              <w:szCs w:val="30"/>
              <w:highlight w:val="none"/>
            </w:rPr>
            <w:fldChar w:fldCharType="separate"/>
          </w:r>
          <w:r>
            <w:rPr>
              <w:sz w:val="30"/>
              <w:szCs w:val="30"/>
              <w:highlight w:val="none"/>
            </w:rPr>
            <w:t>6</w:t>
          </w:r>
          <w:r>
            <w:rPr>
              <w:sz w:val="30"/>
              <w:szCs w:val="30"/>
              <w:highlight w:val="none"/>
            </w:rPr>
            <w:fldChar w:fldCharType="end"/>
          </w:r>
          <w:r>
            <w:rPr>
              <w:rFonts w:hint="eastAsia" w:ascii="宋体" w:eastAsia="宋体" w:cs="宋体"/>
              <w:sz w:val="30"/>
              <w:szCs w:val="30"/>
              <w:highlight w:val="none"/>
            </w:rPr>
            <w:fldChar w:fldCharType="end"/>
          </w:r>
        </w:p>
        <w:p w14:paraId="4BA53474">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_Toc20030 </w:instrText>
          </w:r>
          <w:r>
            <w:rPr>
              <w:rFonts w:hint="eastAsia" w:ascii="宋体" w:eastAsia="宋体" w:cs="宋体"/>
              <w:sz w:val="30"/>
              <w:szCs w:val="30"/>
              <w:highlight w:val="none"/>
            </w:rPr>
            <w:fldChar w:fldCharType="separate"/>
          </w:r>
          <w:r>
            <w:rPr>
              <w:rFonts w:hint="eastAsia" w:ascii="宋体" w:eastAsia="宋体" w:cs="宋体"/>
              <w:bCs/>
              <w:sz w:val="30"/>
              <w:szCs w:val="30"/>
              <w:highlight w:val="none"/>
            </w:rPr>
            <w:t>第三章  评标办法（综合评分法）</w:t>
          </w:r>
          <w:r>
            <w:rPr>
              <w:sz w:val="30"/>
              <w:szCs w:val="30"/>
              <w:highlight w:val="none"/>
            </w:rPr>
            <w:tab/>
          </w:r>
          <w:r>
            <w:rPr>
              <w:sz w:val="30"/>
              <w:szCs w:val="30"/>
              <w:highlight w:val="none"/>
            </w:rPr>
            <w:fldChar w:fldCharType="begin"/>
          </w:r>
          <w:r>
            <w:rPr>
              <w:sz w:val="30"/>
              <w:szCs w:val="30"/>
              <w:highlight w:val="none"/>
            </w:rPr>
            <w:instrText xml:space="preserve"> PAGEREF _Toc20030 \h </w:instrText>
          </w:r>
          <w:r>
            <w:rPr>
              <w:sz w:val="30"/>
              <w:szCs w:val="30"/>
              <w:highlight w:val="none"/>
            </w:rPr>
            <w:fldChar w:fldCharType="separate"/>
          </w:r>
          <w:r>
            <w:rPr>
              <w:sz w:val="30"/>
              <w:szCs w:val="30"/>
              <w:highlight w:val="none"/>
            </w:rPr>
            <w:t>20</w:t>
          </w:r>
          <w:r>
            <w:rPr>
              <w:sz w:val="30"/>
              <w:szCs w:val="30"/>
              <w:highlight w:val="none"/>
            </w:rPr>
            <w:fldChar w:fldCharType="end"/>
          </w:r>
          <w:r>
            <w:rPr>
              <w:rFonts w:hint="eastAsia" w:ascii="宋体" w:eastAsia="宋体" w:cs="宋体"/>
              <w:sz w:val="30"/>
              <w:szCs w:val="30"/>
              <w:highlight w:val="none"/>
            </w:rPr>
            <w:fldChar w:fldCharType="end"/>
          </w:r>
        </w:p>
        <w:p w14:paraId="128320E7">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_Toc24380 </w:instrText>
          </w:r>
          <w:r>
            <w:rPr>
              <w:rFonts w:hint="eastAsia" w:ascii="宋体" w:eastAsia="宋体" w:cs="宋体"/>
              <w:sz w:val="30"/>
              <w:szCs w:val="30"/>
              <w:highlight w:val="none"/>
            </w:rPr>
            <w:fldChar w:fldCharType="separate"/>
          </w:r>
          <w:r>
            <w:rPr>
              <w:rFonts w:hint="eastAsia" w:ascii="宋体" w:eastAsia="宋体" w:cs="宋体"/>
              <w:bCs/>
              <w:sz w:val="30"/>
              <w:szCs w:val="30"/>
              <w:highlight w:val="none"/>
            </w:rPr>
            <w:t>第</w:t>
          </w:r>
          <w:r>
            <w:rPr>
              <w:rFonts w:hint="eastAsia" w:ascii="宋体" w:eastAsia="宋体" w:cs="宋体"/>
              <w:bCs/>
              <w:sz w:val="30"/>
              <w:szCs w:val="30"/>
              <w:highlight w:val="none"/>
              <w:lang w:val="en-US" w:eastAsia="zh-CN"/>
            </w:rPr>
            <w:t>四</w:t>
          </w:r>
          <w:r>
            <w:rPr>
              <w:rFonts w:hint="eastAsia" w:ascii="宋体" w:eastAsia="宋体" w:cs="宋体"/>
              <w:bCs/>
              <w:sz w:val="30"/>
              <w:szCs w:val="30"/>
              <w:highlight w:val="none"/>
            </w:rPr>
            <w:t>章  合同主要条款</w:t>
          </w:r>
          <w:r>
            <w:rPr>
              <w:sz w:val="30"/>
              <w:szCs w:val="30"/>
              <w:highlight w:val="none"/>
            </w:rPr>
            <w:tab/>
          </w:r>
          <w:r>
            <w:rPr>
              <w:sz w:val="30"/>
              <w:szCs w:val="30"/>
              <w:highlight w:val="none"/>
            </w:rPr>
            <w:fldChar w:fldCharType="begin"/>
          </w:r>
          <w:r>
            <w:rPr>
              <w:sz w:val="30"/>
              <w:szCs w:val="30"/>
              <w:highlight w:val="none"/>
            </w:rPr>
            <w:instrText xml:space="preserve"> PAGEREF _Toc24380 \h </w:instrText>
          </w:r>
          <w:r>
            <w:rPr>
              <w:sz w:val="30"/>
              <w:szCs w:val="30"/>
              <w:highlight w:val="none"/>
            </w:rPr>
            <w:fldChar w:fldCharType="separate"/>
          </w:r>
          <w:r>
            <w:rPr>
              <w:sz w:val="30"/>
              <w:szCs w:val="30"/>
              <w:highlight w:val="none"/>
            </w:rPr>
            <w:t>25</w:t>
          </w:r>
          <w:r>
            <w:rPr>
              <w:sz w:val="30"/>
              <w:szCs w:val="30"/>
              <w:highlight w:val="none"/>
            </w:rPr>
            <w:fldChar w:fldCharType="end"/>
          </w:r>
          <w:r>
            <w:rPr>
              <w:rFonts w:hint="eastAsia" w:ascii="宋体" w:eastAsia="宋体" w:cs="宋体"/>
              <w:sz w:val="30"/>
              <w:szCs w:val="30"/>
              <w:highlight w:val="none"/>
            </w:rPr>
            <w:fldChar w:fldCharType="end"/>
          </w:r>
        </w:p>
        <w:p w14:paraId="6F4F9D6B">
          <w:pPr>
            <w:pStyle w:val="118"/>
            <w:pageBreakBefore w:val="0"/>
            <w:widowControl/>
            <w:tabs>
              <w:tab w:val="right" w:leader="dot" w:pos="9355"/>
            </w:tabs>
            <w:kinsoku/>
            <w:wordWrap/>
            <w:overflowPunct/>
            <w:topLinePunct w:val="0"/>
            <w:autoSpaceDE/>
            <w:autoSpaceDN/>
            <w:bidi w:val="0"/>
            <w:adjustRightInd/>
            <w:spacing w:line="360" w:lineRule="auto"/>
            <w:rPr>
              <w:sz w:val="30"/>
              <w:szCs w:val="30"/>
              <w:highlight w:val="none"/>
            </w:rPr>
          </w:pPr>
          <w:r>
            <w:rPr>
              <w:rFonts w:hint="eastAsia" w:ascii="宋体" w:eastAsia="宋体" w:cs="宋体"/>
              <w:sz w:val="30"/>
              <w:szCs w:val="30"/>
              <w:highlight w:val="none"/>
            </w:rPr>
            <w:fldChar w:fldCharType="begin"/>
          </w:r>
          <w:r>
            <w:rPr>
              <w:rFonts w:hint="eastAsia" w:ascii="宋体" w:eastAsia="宋体" w:cs="宋体"/>
              <w:sz w:val="30"/>
              <w:szCs w:val="30"/>
              <w:highlight w:val="none"/>
            </w:rPr>
            <w:instrText xml:space="preserve"> HYPERLINK \l _Toc18143 </w:instrText>
          </w:r>
          <w:r>
            <w:rPr>
              <w:rFonts w:hint="eastAsia" w:ascii="宋体" w:eastAsia="宋体" w:cs="宋体"/>
              <w:sz w:val="30"/>
              <w:szCs w:val="30"/>
              <w:highlight w:val="none"/>
            </w:rPr>
            <w:fldChar w:fldCharType="separate"/>
          </w:r>
          <w:r>
            <w:rPr>
              <w:rFonts w:hint="eastAsia" w:ascii="宋体" w:eastAsia="宋体" w:cs="宋体"/>
              <w:bCs/>
              <w:sz w:val="30"/>
              <w:szCs w:val="30"/>
              <w:highlight w:val="none"/>
            </w:rPr>
            <w:t>第</w:t>
          </w:r>
          <w:r>
            <w:rPr>
              <w:rFonts w:hint="eastAsia" w:ascii="宋体" w:eastAsia="宋体" w:cs="宋体"/>
              <w:bCs/>
              <w:sz w:val="30"/>
              <w:szCs w:val="30"/>
              <w:highlight w:val="none"/>
              <w:lang w:val="en-US" w:eastAsia="zh-CN"/>
            </w:rPr>
            <w:t>五</w:t>
          </w:r>
          <w:r>
            <w:rPr>
              <w:rFonts w:hint="eastAsia" w:ascii="宋体" w:eastAsia="宋体" w:cs="宋体"/>
              <w:bCs/>
              <w:sz w:val="30"/>
              <w:szCs w:val="30"/>
              <w:highlight w:val="none"/>
            </w:rPr>
            <w:t>章 投标文件格式</w:t>
          </w:r>
          <w:r>
            <w:rPr>
              <w:sz w:val="30"/>
              <w:szCs w:val="30"/>
              <w:highlight w:val="none"/>
            </w:rPr>
            <w:tab/>
          </w:r>
          <w:r>
            <w:rPr>
              <w:sz w:val="30"/>
              <w:szCs w:val="30"/>
              <w:highlight w:val="none"/>
            </w:rPr>
            <w:fldChar w:fldCharType="begin"/>
          </w:r>
          <w:r>
            <w:rPr>
              <w:sz w:val="30"/>
              <w:szCs w:val="30"/>
              <w:highlight w:val="none"/>
            </w:rPr>
            <w:instrText xml:space="preserve"> PAGEREF _Toc18143 \h </w:instrText>
          </w:r>
          <w:r>
            <w:rPr>
              <w:sz w:val="30"/>
              <w:szCs w:val="30"/>
              <w:highlight w:val="none"/>
            </w:rPr>
            <w:fldChar w:fldCharType="separate"/>
          </w:r>
          <w:r>
            <w:rPr>
              <w:sz w:val="30"/>
              <w:szCs w:val="30"/>
              <w:highlight w:val="none"/>
            </w:rPr>
            <w:t>25</w:t>
          </w:r>
          <w:r>
            <w:rPr>
              <w:sz w:val="30"/>
              <w:szCs w:val="30"/>
              <w:highlight w:val="none"/>
            </w:rPr>
            <w:fldChar w:fldCharType="end"/>
          </w:r>
          <w:r>
            <w:rPr>
              <w:rFonts w:hint="eastAsia" w:ascii="宋体" w:eastAsia="宋体" w:cs="宋体"/>
              <w:sz w:val="30"/>
              <w:szCs w:val="30"/>
              <w:highlight w:val="none"/>
            </w:rPr>
            <w:fldChar w:fldCharType="end"/>
          </w:r>
        </w:p>
        <w:p w14:paraId="1B20185F">
          <w:pPr>
            <w:pageBreakBefore w:val="0"/>
            <w:widowControl/>
            <w:kinsoku/>
            <w:wordWrap/>
            <w:overflowPunct/>
            <w:topLinePunct w:val="0"/>
            <w:autoSpaceDE/>
            <w:autoSpaceDN/>
            <w:bidi w:val="0"/>
            <w:adjustRightInd/>
            <w:snapToGrid w:val="0"/>
            <w:spacing w:line="360" w:lineRule="auto"/>
            <w:ind w:firstLine="1326" w:firstLineChars="442"/>
            <w:rPr>
              <w:rFonts w:hint="eastAsia" w:ascii="宋体" w:eastAsia="宋体" w:cs="宋体"/>
              <w:b/>
              <w:sz w:val="28"/>
              <w:szCs w:val="28"/>
              <w:highlight w:val="none"/>
            </w:rPr>
          </w:pPr>
          <w:r>
            <w:rPr>
              <w:rFonts w:hint="eastAsia" w:ascii="宋体" w:eastAsia="宋体" w:cs="宋体"/>
              <w:sz w:val="30"/>
              <w:szCs w:val="30"/>
              <w:highlight w:val="none"/>
            </w:rPr>
            <w:fldChar w:fldCharType="end"/>
          </w:r>
        </w:p>
      </w:sdtContent>
    </w:sdt>
    <w:p w14:paraId="17412D4B">
      <w:pPr>
        <w:snapToGrid w:val="0"/>
        <w:rPr>
          <w:rFonts w:hint="eastAsia" w:ascii="宋体" w:eastAsia="宋体" w:cs="宋体"/>
          <w:highlight w:val="none"/>
        </w:rPr>
      </w:pPr>
    </w:p>
    <w:p w14:paraId="75C9AFDC">
      <w:pPr>
        <w:snapToGrid w:val="0"/>
        <w:rPr>
          <w:rFonts w:hint="eastAsia" w:ascii="宋体" w:eastAsia="宋体" w:cs="宋体"/>
          <w:highlight w:val="none"/>
        </w:rPr>
      </w:pPr>
    </w:p>
    <w:p w14:paraId="11258E87">
      <w:pPr>
        <w:snapToGrid w:val="0"/>
        <w:rPr>
          <w:rFonts w:hint="eastAsia" w:ascii="宋体" w:eastAsia="宋体" w:cs="宋体"/>
          <w:highlight w:val="none"/>
        </w:rPr>
      </w:pPr>
    </w:p>
    <w:p w14:paraId="3D973184">
      <w:pPr>
        <w:snapToGrid w:val="0"/>
        <w:rPr>
          <w:rFonts w:hint="eastAsia" w:ascii="宋体" w:eastAsia="宋体" w:cs="宋体"/>
          <w:highlight w:val="none"/>
        </w:rPr>
      </w:pPr>
    </w:p>
    <w:p w14:paraId="4F4B2922">
      <w:pPr>
        <w:snapToGrid w:val="0"/>
        <w:rPr>
          <w:rFonts w:hint="eastAsia" w:ascii="宋体" w:eastAsia="宋体" w:cs="宋体"/>
          <w:highlight w:val="none"/>
        </w:rPr>
      </w:pPr>
    </w:p>
    <w:p w14:paraId="63795346">
      <w:pPr>
        <w:snapToGrid w:val="0"/>
        <w:rPr>
          <w:rFonts w:hint="eastAsia" w:ascii="宋体" w:eastAsia="宋体" w:cs="宋体"/>
          <w:highlight w:val="none"/>
        </w:rPr>
      </w:pPr>
    </w:p>
    <w:p w14:paraId="739D59D0">
      <w:pPr>
        <w:snapToGrid w:val="0"/>
        <w:rPr>
          <w:rFonts w:hint="eastAsia" w:ascii="宋体" w:eastAsia="宋体" w:cs="宋体"/>
          <w:highlight w:val="none"/>
        </w:rPr>
      </w:pPr>
    </w:p>
    <w:p w14:paraId="37423F93">
      <w:pPr>
        <w:snapToGrid w:val="0"/>
        <w:rPr>
          <w:rFonts w:hint="eastAsia" w:ascii="宋体" w:eastAsia="宋体" w:cs="宋体"/>
          <w:highlight w:val="none"/>
        </w:rPr>
      </w:pPr>
    </w:p>
    <w:p w14:paraId="11CE172D">
      <w:pPr>
        <w:snapToGrid w:val="0"/>
        <w:rPr>
          <w:rFonts w:hint="eastAsia" w:ascii="宋体" w:eastAsia="宋体" w:cs="宋体"/>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cols w:space="720" w:num="1"/>
          <w:titlePg/>
          <w:docGrid w:linePitch="285" w:charSpace="0"/>
        </w:sectPr>
      </w:pPr>
    </w:p>
    <w:p w14:paraId="0B7BDEDE">
      <w:pPr>
        <w:snapToGrid w:val="0"/>
        <w:spacing w:line="360" w:lineRule="auto"/>
        <w:jc w:val="center"/>
        <w:outlineLvl w:val="0"/>
        <w:rPr>
          <w:rFonts w:hint="eastAsia" w:ascii="宋体" w:cs="宋体"/>
          <w:b/>
          <w:sz w:val="32"/>
          <w:szCs w:val="32"/>
        </w:rPr>
      </w:pPr>
      <w:bookmarkStart w:id="1" w:name="_Toc10985"/>
      <w:r>
        <w:rPr>
          <w:rFonts w:hint="eastAsia" w:ascii="宋体" w:cs="宋体"/>
          <w:b/>
          <w:sz w:val="32"/>
          <w:szCs w:val="32"/>
        </w:rPr>
        <w:t>电子交易须知</w:t>
      </w:r>
      <w:bookmarkEnd w:id="1"/>
    </w:p>
    <w:p w14:paraId="1B9EC2AD">
      <w:pPr>
        <w:pStyle w:val="14"/>
        <w:spacing w:line="360" w:lineRule="auto"/>
        <w:ind w:firstLine="480" w:firstLineChars="200"/>
        <w:jc w:val="left"/>
        <w:rPr>
          <w:rFonts w:hint="eastAsia" w:cs="宋体"/>
          <w:sz w:val="24"/>
          <w:szCs w:val="24"/>
        </w:rPr>
      </w:pPr>
      <w:r>
        <w:rPr>
          <w:rFonts w:hint="eastAsia" w:cs="宋体"/>
          <w:sz w:val="24"/>
          <w:szCs w:val="24"/>
        </w:rPr>
        <w:t>本次招标采用电子投标方式，电子投标平台为“巨化数字化招采平台（juhua.ccccnet.com）”（下同），参考操作顺序如下：</w:t>
      </w:r>
    </w:p>
    <w:p w14:paraId="2B8A0BAF">
      <w:pPr>
        <w:pStyle w:val="14"/>
        <w:spacing w:line="360" w:lineRule="auto"/>
        <w:ind w:firstLine="480" w:firstLineChars="200"/>
        <w:jc w:val="left"/>
        <w:rPr>
          <w:rFonts w:hint="eastAsia" w:cs="宋体"/>
          <w:sz w:val="24"/>
          <w:szCs w:val="24"/>
        </w:rPr>
      </w:pPr>
      <w:r>
        <w:rPr>
          <w:rFonts w:hint="eastAsia" w:cs="宋体"/>
          <w:sz w:val="24"/>
          <w:szCs w:val="24"/>
        </w:rPr>
        <w:t>1.注册：在“巨化数字化招采平台”完成注册。</w:t>
      </w:r>
    </w:p>
    <w:p w14:paraId="7479D263">
      <w:pPr>
        <w:pStyle w:val="14"/>
        <w:spacing w:line="360" w:lineRule="auto"/>
        <w:ind w:firstLine="480" w:firstLineChars="200"/>
        <w:jc w:val="left"/>
        <w:rPr>
          <w:rFonts w:hint="eastAsia" w:cs="宋体"/>
          <w:sz w:val="24"/>
          <w:szCs w:val="24"/>
        </w:rPr>
      </w:pPr>
      <w:r>
        <w:rPr>
          <w:rFonts w:hint="eastAsia" w:cs="宋体"/>
          <w:sz w:val="24"/>
          <w:szCs w:val="24"/>
        </w:rPr>
        <w:t>2.CA申请：在“</w:t>
      </w:r>
      <w:r>
        <w:rPr>
          <w:rStyle w:val="28"/>
          <w:rFonts w:hint="eastAsia" w:cs="宋体"/>
          <w:color w:val="auto"/>
          <w:sz w:val="24"/>
          <w:szCs w:val="24"/>
        </w:rPr>
        <w:fldChar w:fldCharType="begin"/>
      </w:r>
      <w:r>
        <w:instrText xml:space="preserve">HYPERLINK "http://www.tseal.cn/tcloud/common.xhtml?projId=81"</w:instrText>
      </w:r>
      <w:r>
        <w:rPr>
          <w:rStyle w:val="28"/>
          <w:rFonts w:hint="eastAsia" w:cs="宋体"/>
          <w:color w:val="auto"/>
          <w:sz w:val="24"/>
          <w:szCs w:val="24"/>
        </w:rPr>
        <w:fldChar w:fldCharType="separate"/>
      </w:r>
      <w:r>
        <w:rPr>
          <w:rStyle w:val="28"/>
          <w:rFonts w:hint="eastAsia" w:cs="宋体"/>
          <w:color w:val="auto"/>
          <w:sz w:val="24"/>
          <w:szCs w:val="24"/>
        </w:rPr>
        <w:t>巨化集团公司专用数字证书用户自助申报系统</w:t>
      </w:r>
      <w:r>
        <w:rPr>
          <w:rStyle w:val="28"/>
          <w:rFonts w:hint="eastAsia" w:cs="宋体"/>
          <w:color w:val="auto"/>
          <w:sz w:val="24"/>
          <w:szCs w:val="24"/>
        </w:rPr>
        <w:fldChar w:fldCharType="end"/>
      </w:r>
      <w:r>
        <w:rPr>
          <w:rFonts w:hint="eastAsia" w:cs="宋体"/>
          <w:sz w:val="24"/>
          <w:szCs w:val="24"/>
        </w:rPr>
        <w:t>” 完成CA申请。CA数字证书申请后须邮寄实体介质，因CA邮寄时间导致延误投标的责任由投标人自行承担。</w:t>
      </w:r>
    </w:p>
    <w:p w14:paraId="5E683C2D">
      <w:pPr>
        <w:pStyle w:val="14"/>
        <w:spacing w:line="360" w:lineRule="auto"/>
        <w:ind w:firstLine="480" w:firstLineChars="200"/>
        <w:jc w:val="left"/>
        <w:rPr>
          <w:rFonts w:hint="eastAsia" w:cs="宋体"/>
          <w:b/>
          <w:bCs/>
          <w:sz w:val="24"/>
          <w:szCs w:val="24"/>
        </w:rPr>
      </w:pPr>
      <w:r>
        <w:rPr>
          <w:rFonts w:hint="eastAsia" w:cs="宋体"/>
          <w:sz w:val="24"/>
          <w:szCs w:val="24"/>
        </w:rPr>
        <w:t>3.报名：</w:t>
      </w:r>
      <w:r>
        <w:rPr>
          <w:rFonts w:hint="eastAsia" w:cs="宋体"/>
          <w:b/>
          <w:bCs/>
          <w:sz w:val="24"/>
          <w:szCs w:val="24"/>
        </w:rPr>
        <w:t>登录巨化数字化招采平台后选择“供应商门户”-“招标公告”选择本项目招标公告的“查看”，在 “②投标”选择“公开报名”-“报名”，并与招标代理联系缴纳资料费。</w:t>
      </w:r>
    </w:p>
    <w:p w14:paraId="0C8BD07E">
      <w:pPr>
        <w:pStyle w:val="14"/>
        <w:spacing w:line="360" w:lineRule="auto"/>
        <w:ind w:firstLine="480" w:firstLineChars="200"/>
        <w:jc w:val="left"/>
        <w:rPr>
          <w:rFonts w:hint="eastAsia" w:cs="宋体"/>
          <w:sz w:val="24"/>
          <w:szCs w:val="24"/>
        </w:rPr>
      </w:pPr>
      <w:r>
        <w:rPr>
          <w:rFonts w:hint="eastAsia" w:cs="宋体"/>
          <w:sz w:val="24"/>
          <w:szCs w:val="24"/>
        </w:rPr>
        <w:t>4.编制投标文件：</w:t>
      </w:r>
    </w:p>
    <w:p w14:paraId="142C5C28">
      <w:pPr>
        <w:pStyle w:val="14"/>
        <w:spacing w:line="360" w:lineRule="auto"/>
        <w:ind w:firstLine="480" w:firstLineChars="200"/>
        <w:jc w:val="left"/>
        <w:rPr>
          <w:rFonts w:hint="eastAsia" w:cs="宋体"/>
          <w:sz w:val="24"/>
          <w:szCs w:val="24"/>
        </w:rPr>
      </w:pPr>
      <w:r>
        <w:rPr>
          <w:rFonts w:hint="eastAsia" w:cs="宋体"/>
          <w:sz w:val="24"/>
          <w:szCs w:val="24"/>
        </w:rPr>
        <w:t>根据本招标文件第二章第二节第3.1款“投标文件的组成”的要求编制“技术资信标书”和“商务经济标书”电子版。</w:t>
      </w:r>
    </w:p>
    <w:p w14:paraId="02B56012">
      <w:pPr>
        <w:pStyle w:val="14"/>
        <w:spacing w:line="360" w:lineRule="auto"/>
        <w:ind w:firstLine="480" w:firstLineChars="200"/>
        <w:jc w:val="left"/>
        <w:rPr>
          <w:rFonts w:hint="eastAsia" w:cs="宋体"/>
          <w:sz w:val="24"/>
          <w:szCs w:val="24"/>
        </w:rPr>
      </w:pPr>
      <w:r>
        <w:rPr>
          <w:rFonts w:hint="eastAsia" w:cs="宋体"/>
          <w:sz w:val="24"/>
          <w:szCs w:val="24"/>
        </w:rPr>
        <w:t>5.投标：</w:t>
      </w:r>
    </w:p>
    <w:p w14:paraId="07098C01">
      <w:pPr>
        <w:pStyle w:val="14"/>
        <w:spacing w:line="360" w:lineRule="auto"/>
        <w:ind w:firstLine="480" w:firstLineChars="200"/>
        <w:jc w:val="left"/>
        <w:rPr>
          <w:rFonts w:hint="eastAsia" w:cs="宋体"/>
          <w:sz w:val="24"/>
          <w:szCs w:val="24"/>
        </w:rPr>
      </w:pPr>
      <w:r>
        <w:rPr>
          <w:rFonts w:hint="eastAsia" w:cs="宋体"/>
          <w:sz w:val="24"/>
          <w:szCs w:val="24"/>
        </w:rPr>
        <w:t>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745EB3E0">
      <w:pPr>
        <w:pStyle w:val="14"/>
        <w:spacing w:line="360" w:lineRule="auto"/>
        <w:ind w:firstLine="480" w:firstLineChars="200"/>
        <w:jc w:val="left"/>
        <w:rPr>
          <w:rFonts w:hint="eastAsia" w:cs="宋体"/>
          <w:sz w:val="24"/>
          <w:szCs w:val="24"/>
        </w:rPr>
      </w:pPr>
      <w:r>
        <w:rPr>
          <w:rFonts w:hint="eastAsia" w:cs="宋体"/>
          <w:sz w:val="24"/>
          <w:szCs w:val="24"/>
        </w:rPr>
        <w:t>6.注册、投标等相关操作方法详见《电子投标供应商操作手册》，获取方式：</w:t>
      </w:r>
      <w:r>
        <w:rPr>
          <w:rStyle w:val="28"/>
          <w:rFonts w:hint="eastAsia" w:cs="宋体"/>
          <w:color w:val="auto"/>
          <w:sz w:val="24"/>
          <w:szCs w:val="24"/>
        </w:rPr>
        <w:fldChar w:fldCharType="begin"/>
      </w:r>
      <w:r>
        <w:instrText xml:space="preserve">HYPERLINK "https://juhua.ccccnet.com/" /l "/detail3/cdef968b-fd19-4ffa-9edd-0d9699c46185"</w:instrText>
      </w:r>
      <w:r>
        <w:rPr>
          <w:rStyle w:val="28"/>
          <w:rFonts w:hint="eastAsia" w:cs="宋体"/>
          <w:color w:val="auto"/>
          <w:sz w:val="24"/>
          <w:szCs w:val="24"/>
        </w:rPr>
        <w:fldChar w:fldCharType="separate"/>
      </w:r>
      <w:r>
        <w:rPr>
          <w:rStyle w:val="28"/>
          <w:rFonts w:hint="eastAsia" w:cs="宋体"/>
          <w:color w:val="auto"/>
          <w:sz w:val="24"/>
          <w:szCs w:val="24"/>
        </w:rPr>
        <w:t>巨化数字化招采平台首页-供应商操作手册（招标）</w:t>
      </w:r>
      <w:r>
        <w:rPr>
          <w:rStyle w:val="28"/>
          <w:rFonts w:hint="eastAsia" w:cs="宋体"/>
          <w:color w:val="auto"/>
          <w:sz w:val="24"/>
          <w:szCs w:val="24"/>
        </w:rPr>
        <w:fldChar w:fldCharType="end"/>
      </w:r>
      <w:r>
        <w:rPr>
          <w:rFonts w:hint="eastAsia" w:cs="宋体"/>
          <w:sz w:val="24"/>
          <w:szCs w:val="24"/>
        </w:rPr>
        <w:t>。</w:t>
      </w:r>
    </w:p>
    <w:p w14:paraId="6709994B">
      <w:pPr>
        <w:pStyle w:val="14"/>
        <w:spacing w:line="360" w:lineRule="auto"/>
        <w:ind w:firstLine="480" w:firstLineChars="200"/>
        <w:jc w:val="left"/>
        <w:rPr>
          <w:rFonts w:hint="eastAsia" w:cs="宋体"/>
          <w:sz w:val="24"/>
          <w:szCs w:val="24"/>
        </w:rPr>
      </w:pPr>
      <w:r>
        <w:rPr>
          <w:rFonts w:hint="eastAsia" w:cs="宋体"/>
          <w:sz w:val="24"/>
          <w:szCs w:val="24"/>
        </w:rPr>
        <w:t>7.投标人在参加电子交易过程中，有CA或平台问题的，请联系：</w:t>
      </w:r>
    </w:p>
    <w:p w14:paraId="4B211D17">
      <w:pPr>
        <w:pStyle w:val="14"/>
        <w:spacing w:line="360" w:lineRule="auto"/>
        <w:ind w:firstLine="480" w:firstLineChars="200"/>
        <w:jc w:val="left"/>
        <w:rPr>
          <w:rFonts w:hint="eastAsia" w:cs="宋体"/>
          <w:sz w:val="24"/>
          <w:szCs w:val="24"/>
        </w:rPr>
      </w:pPr>
      <w:r>
        <w:rPr>
          <w:rFonts w:hint="eastAsia" w:cs="宋体"/>
          <w:sz w:val="24"/>
          <w:szCs w:val="24"/>
        </w:rPr>
        <w:t>巨化招采平台供应商线上支持QQ群：</w:t>
      </w:r>
      <w:r>
        <w:rPr>
          <w:rFonts w:hint="eastAsia" w:cs="宋体"/>
          <w:sz w:val="24"/>
        </w:rPr>
        <w:t>256350034、319810100</w:t>
      </w:r>
      <w:r>
        <w:rPr>
          <w:rFonts w:hint="eastAsia" w:cs="宋体"/>
          <w:sz w:val="24"/>
          <w:szCs w:val="24"/>
        </w:rPr>
        <w:t>（首选）</w:t>
      </w:r>
    </w:p>
    <w:p w14:paraId="5FAB02A0">
      <w:pPr>
        <w:pStyle w:val="14"/>
        <w:spacing w:line="360" w:lineRule="auto"/>
        <w:ind w:firstLine="480" w:firstLineChars="200"/>
        <w:jc w:val="left"/>
        <w:rPr>
          <w:rFonts w:hint="eastAsia" w:cs="宋体"/>
          <w:sz w:val="24"/>
          <w:szCs w:val="24"/>
        </w:rPr>
      </w:pPr>
      <w:r>
        <w:rPr>
          <w:rFonts w:hint="eastAsia" w:cs="宋体"/>
          <w:sz w:val="24"/>
          <w:szCs w:val="24"/>
        </w:rPr>
        <w:t>联系电话：0570-3615336</w:t>
      </w:r>
    </w:p>
    <w:p w14:paraId="0E2CCC9F">
      <w:pPr>
        <w:pStyle w:val="14"/>
        <w:numPr>
          <w:ilvl w:val="0"/>
          <w:numId w:val="5"/>
        </w:numPr>
        <w:snapToGrid w:val="0"/>
        <w:spacing w:line="360" w:lineRule="auto"/>
        <w:ind w:left="0" w:firstLine="480" w:firstLineChars="200"/>
        <w:jc w:val="left"/>
        <w:rPr>
          <w:rFonts w:hint="eastAsia" w:cs="宋体"/>
          <w:sz w:val="24"/>
          <w:szCs w:val="24"/>
        </w:rPr>
      </w:pPr>
      <w:r>
        <w:rPr>
          <w:rFonts w:hint="eastAsia" w:cs="宋体"/>
          <w:sz w:val="24"/>
          <w:szCs w:val="24"/>
        </w:rPr>
        <w:t>不论中标与否均需邮寄或发送《退还投标保证金申请书》后方可退还投标保证金，建议尽早邮寄或发送，以免耽误投标保证金的退还。</w:t>
      </w:r>
    </w:p>
    <w:p w14:paraId="7B5A2E07">
      <w:pPr>
        <w:pStyle w:val="2"/>
        <w:rPr>
          <w:rFonts w:hint="eastAsia"/>
          <w:b/>
          <w:bCs/>
          <w:sz w:val="30"/>
          <w:szCs w:val="30"/>
        </w:rPr>
      </w:pPr>
    </w:p>
    <w:p w14:paraId="7E8C0C14">
      <w:pPr>
        <w:numPr>
          <w:ilvl w:val="0"/>
          <w:numId w:val="6"/>
        </w:numPr>
        <w:snapToGrid w:val="0"/>
        <w:spacing w:line="440" w:lineRule="exact"/>
        <w:outlineLvl w:val="0"/>
        <w:rPr>
          <w:rFonts w:hint="eastAsia" w:ascii="宋体" w:eastAsia="宋体" w:cs="宋体"/>
          <w:b/>
          <w:bCs/>
          <w:sz w:val="28"/>
          <w:szCs w:val="28"/>
          <w:highlight w:val="none"/>
        </w:rPr>
      </w:pPr>
      <w:r>
        <w:rPr>
          <w:rFonts w:hint="eastAsia" w:ascii="宋体" w:eastAsia="宋体" w:cs="宋体"/>
          <w:b/>
          <w:bCs/>
          <w:sz w:val="28"/>
          <w:szCs w:val="28"/>
          <w:highlight w:val="none"/>
        </w:rPr>
        <w:t xml:space="preserve"> </w:t>
      </w:r>
      <w:bookmarkStart w:id="2" w:name="_Toc2222"/>
      <w:r>
        <w:rPr>
          <w:rFonts w:hint="eastAsia" w:ascii="宋体" w:eastAsia="宋体" w:cs="宋体"/>
          <w:b/>
          <w:bCs/>
          <w:sz w:val="28"/>
          <w:szCs w:val="28"/>
          <w:highlight w:val="none"/>
        </w:rPr>
        <w:t>招标公告</w:t>
      </w:r>
      <w:bookmarkEnd w:id="2"/>
    </w:p>
    <w:p w14:paraId="1F998292">
      <w:pPr>
        <w:snapToGrid w:val="0"/>
        <w:spacing w:line="440" w:lineRule="exact"/>
        <w:jc w:val="left"/>
        <w:rPr>
          <w:rFonts w:hint="eastAsia" w:ascii="宋体" w:eastAsia="宋体" w:cs="宋体"/>
          <w:highlight w:val="none"/>
        </w:rPr>
      </w:pPr>
      <w:r>
        <w:rPr>
          <w:rStyle w:val="116"/>
          <w:rFonts w:hint="eastAsia" w:ascii="宋体" w:eastAsia="宋体" w:cs="宋体"/>
          <w:sz w:val="24"/>
          <w:highlight w:val="none"/>
        </w:rPr>
        <w:t xml:space="preserve">   </w:t>
      </w:r>
      <w:r>
        <w:rPr>
          <w:rStyle w:val="116"/>
          <w:rFonts w:hint="eastAsia" w:ascii="宋体" w:cs="宋体"/>
          <w:sz w:val="24"/>
          <w:highlight w:val="none"/>
          <w:lang w:val="en-US"/>
        </w:rPr>
        <w:t xml:space="preserve"> </w:t>
      </w:r>
      <w:bookmarkStart w:id="30" w:name="_GoBack"/>
      <w:r>
        <w:rPr>
          <w:rStyle w:val="116"/>
          <w:rFonts w:hint="eastAsia" w:ascii="宋体" w:eastAsia="宋体" w:cs="宋体"/>
          <w:sz w:val="24"/>
          <w:highlight w:val="none"/>
          <w:u w:val="single" w:color="000000"/>
        </w:rPr>
        <w:t>浙江南方工程咨询管理有限公司</w:t>
      </w:r>
      <w:r>
        <w:rPr>
          <w:rFonts w:hint="eastAsia" w:ascii="宋体" w:eastAsia="宋体" w:cs="宋体"/>
          <w:sz w:val="24"/>
          <w:highlight w:val="none"/>
        </w:rPr>
        <w:t>受</w:t>
      </w:r>
      <w:r>
        <w:rPr>
          <w:rStyle w:val="116"/>
          <w:rFonts w:hint="eastAsia" w:ascii="宋体" w:eastAsia="宋体" w:cs="宋体"/>
          <w:sz w:val="24"/>
          <w:highlight w:val="none"/>
          <w:u w:val="single" w:color="000000"/>
          <w:lang w:val="en-US" w:eastAsia="zh-CN"/>
        </w:rPr>
        <w:t>巨化集团有限公司</w:t>
      </w:r>
      <w:r>
        <w:rPr>
          <w:rFonts w:hint="eastAsia" w:ascii="宋体" w:eastAsia="宋体" w:cs="宋体"/>
          <w:sz w:val="24"/>
          <w:highlight w:val="none"/>
        </w:rPr>
        <w:t>的委托，就</w:t>
      </w:r>
      <w:r>
        <w:rPr>
          <w:rStyle w:val="116"/>
          <w:rFonts w:hint="eastAsia" w:ascii="宋体" w:cs="宋体"/>
          <w:sz w:val="24"/>
          <w:highlight w:val="none"/>
          <w:u w:val="single" w:color="000000"/>
        </w:rPr>
        <w:t>巨化集团有限公司202</w:t>
      </w:r>
      <w:r>
        <w:rPr>
          <w:rStyle w:val="116"/>
          <w:rFonts w:hint="eastAsia" w:ascii="宋体" w:cs="宋体"/>
          <w:sz w:val="24"/>
          <w:highlight w:val="none"/>
          <w:u w:val="single" w:color="000000"/>
          <w:lang w:val="en-US"/>
        </w:rPr>
        <w:t>5</w:t>
      </w:r>
      <w:r>
        <w:rPr>
          <w:rStyle w:val="116"/>
          <w:rFonts w:hint="eastAsia" w:ascii="宋体" w:cs="宋体"/>
          <w:sz w:val="24"/>
          <w:highlight w:val="none"/>
          <w:u w:val="single" w:color="000000"/>
        </w:rPr>
        <w:t>年度危险废物处置利用入围服务商</w:t>
      </w:r>
      <w:r>
        <w:rPr>
          <w:rFonts w:hint="eastAsia" w:ascii="宋体" w:eastAsia="宋体" w:cs="宋体"/>
          <w:sz w:val="24"/>
          <w:highlight w:val="none"/>
        </w:rPr>
        <w:t>进行公开招标，本次招标标的为巨化集团有限公司下属单位</w:t>
      </w:r>
      <w:r>
        <w:rPr>
          <w:rStyle w:val="116"/>
          <w:rFonts w:hint="eastAsia" w:ascii="宋体" w:eastAsia="宋体" w:cs="宋体"/>
          <w:sz w:val="24"/>
          <w:highlight w:val="none"/>
          <w:u w:val="single" w:color="000000"/>
        </w:rPr>
        <w:t>的危险废物处置利用入围服务</w:t>
      </w:r>
      <w:r>
        <w:rPr>
          <w:rFonts w:hint="eastAsia" w:ascii="宋体" w:eastAsia="宋体" w:cs="宋体"/>
          <w:sz w:val="24"/>
          <w:highlight w:val="none"/>
        </w:rPr>
        <w:t>，由</w:t>
      </w:r>
      <w:r>
        <w:rPr>
          <w:rStyle w:val="116"/>
          <w:rFonts w:hint="eastAsia" w:ascii="宋体" w:eastAsia="宋体" w:cs="宋体"/>
          <w:sz w:val="24"/>
          <w:highlight w:val="none"/>
          <w:u w:val="single" w:color="000000"/>
          <w:lang w:val="en-US" w:eastAsia="zh-CN"/>
        </w:rPr>
        <w:t>巨化集团有限公司</w:t>
      </w:r>
      <w:r>
        <w:rPr>
          <w:rFonts w:hint="eastAsia" w:ascii="宋体" w:eastAsia="宋体" w:cs="宋体"/>
          <w:sz w:val="24"/>
          <w:highlight w:val="none"/>
        </w:rPr>
        <w:t>进行统谈分签，即</w:t>
      </w:r>
      <w:r>
        <w:rPr>
          <w:rFonts w:hint="eastAsia" w:ascii="宋体" w:cs="宋体"/>
          <w:sz w:val="24"/>
          <w:highlight w:val="none"/>
          <w:lang w:eastAsia="zh-CN"/>
        </w:rPr>
        <w:t>巨化集团有限公司</w:t>
      </w:r>
      <w:r>
        <w:rPr>
          <w:rFonts w:hint="eastAsia" w:ascii="宋体" w:eastAsia="宋体" w:cs="宋体"/>
          <w:sz w:val="24"/>
          <w:highlight w:val="none"/>
        </w:rPr>
        <w:t>作为本次项目的招标人，招标范围及内容为巨化集团有限公司下属各二级单位。本次招标采用资格后审的方法确定合格投标人，潜在投标人应在巨化数字化招采平台（juhua.ccccnet.com）获取（下载）招标文件，并于202</w:t>
      </w:r>
      <w:r>
        <w:rPr>
          <w:rFonts w:hint="eastAsia" w:ascii="宋体" w:cs="宋体"/>
          <w:sz w:val="24"/>
          <w:highlight w:val="none"/>
          <w:lang w:val="en-US" w:eastAsia="zh-CN"/>
        </w:rPr>
        <w:t>5</w:t>
      </w:r>
      <w:r>
        <w:rPr>
          <w:rFonts w:hint="eastAsia" w:ascii="宋体" w:eastAsia="宋体" w:cs="宋体"/>
          <w:sz w:val="24"/>
          <w:highlight w:val="none"/>
        </w:rPr>
        <w:t>年</w:t>
      </w:r>
      <w:r>
        <w:rPr>
          <w:rFonts w:hint="eastAsia" w:ascii="宋体" w:cs="宋体"/>
          <w:sz w:val="24"/>
          <w:highlight w:val="none"/>
          <w:lang w:val="en-US" w:eastAsia="zh-CN"/>
        </w:rPr>
        <w:t xml:space="preserve">4 </w:t>
      </w:r>
      <w:r>
        <w:rPr>
          <w:rFonts w:hint="eastAsia" w:ascii="宋体" w:eastAsia="宋体" w:cs="宋体"/>
          <w:sz w:val="24"/>
          <w:highlight w:val="none"/>
        </w:rPr>
        <w:t>月</w:t>
      </w:r>
      <w:r>
        <w:rPr>
          <w:rFonts w:hint="eastAsia" w:ascii="宋体" w:cs="宋体"/>
          <w:sz w:val="24"/>
          <w:highlight w:val="none"/>
          <w:lang w:val="en-US" w:eastAsia="zh-CN"/>
        </w:rPr>
        <w:t>17</w:t>
      </w:r>
      <w:r>
        <w:rPr>
          <w:rFonts w:hint="eastAsia" w:ascii="宋体" w:eastAsia="宋体" w:cs="宋体"/>
          <w:sz w:val="24"/>
          <w:highlight w:val="none"/>
        </w:rPr>
        <w:t xml:space="preserve"> 日</w:t>
      </w:r>
      <w:r>
        <w:rPr>
          <w:rFonts w:hint="eastAsia" w:ascii="宋体" w:cs="宋体"/>
          <w:sz w:val="24"/>
          <w:highlight w:val="none"/>
          <w:lang w:val="en-US" w:eastAsia="zh-CN"/>
        </w:rPr>
        <w:t xml:space="preserve">09  </w:t>
      </w:r>
      <w:r>
        <w:rPr>
          <w:rFonts w:hint="eastAsia" w:ascii="宋体" w:eastAsia="宋体" w:cs="宋体"/>
          <w:sz w:val="24"/>
          <w:highlight w:val="none"/>
        </w:rPr>
        <w:t>时</w:t>
      </w:r>
      <w:r>
        <w:rPr>
          <w:rFonts w:hint="eastAsia" w:ascii="宋体" w:eastAsia="宋体" w:cs="宋体"/>
          <w:sz w:val="24"/>
          <w:highlight w:val="none"/>
          <w:lang w:val="en-US" w:eastAsia="zh-CN"/>
        </w:rPr>
        <w:t>00</w:t>
      </w:r>
      <w:r>
        <w:rPr>
          <w:rFonts w:hint="eastAsia" w:ascii="宋体" w:eastAsia="宋体" w:cs="宋体"/>
          <w:sz w:val="24"/>
          <w:highlight w:val="none"/>
        </w:rPr>
        <w:t>分（北京时间）前递交（上传）投标文件。</w:t>
      </w:r>
    </w:p>
    <w:p w14:paraId="042A4B23">
      <w:pPr>
        <w:snapToGrid w:val="0"/>
        <w:spacing w:line="440" w:lineRule="exact"/>
        <w:jc w:val="left"/>
        <w:rPr>
          <w:rFonts w:hint="eastAsia" w:ascii="宋体" w:eastAsia="宋体" w:cs="宋体"/>
          <w:sz w:val="24"/>
          <w:highlight w:val="none"/>
        </w:rPr>
      </w:pPr>
      <w:r>
        <w:rPr>
          <w:rFonts w:hint="eastAsia" w:ascii="宋体" w:eastAsia="宋体" w:cs="宋体"/>
          <w:b/>
          <w:bCs/>
          <w:sz w:val="24"/>
          <w:highlight w:val="none"/>
        </w:rPr>
        <w:t>一、招标编号：</w:t>
      </w:r>
      <w:r>
        <w:rPr>
          <w:rFonts w:hint="eastAsia" w:ascii="宋体" w:eastAsia="宋体" w:cs="宋体"/>
          <w:sz w:val="24"/>
          <w:highlight w:val="none"/>
        </w:rPr>
        <w:t>NFZB-</w:t>
      </w:r>
      <w:r>
        <w:rPr>
          <w:rFonts w:hint="eastAsia" w:ascii="宋体" w:cs="宋体"/>
          <w:sz w:val="24"/>
          <w:highlight w:val="none"/>
          <w:lang w:eastAsia="zh-CN"/>
        </w:rPr>
        <w:t>20250325</w:t>
      </w:r>
    </w:p>
    <w:p w14:paraId="580A039D">
      <w:pPr>
        <w:snapToGrid w:val="0"/>
        <w:spacing w:line="440" w:lineRule="exact"/>
        <w:jc w:val="left"/>
        <w:rPr>
          <w:rFonts w:hint="eastAsia" w:ascii="宋体" w:cs="宋体"/>
          <w:b/>
          <w:bCs/>
          <w:sz w:val="24"/>
          <w:highlight w:val="none"/>
          <w:lang w:val="zh-CN" w:eastAsia="zh-CN"/>
        </w:rPr>
      </w:pPr>
      <w:r>
        <w:rPr>
          <w:rFonts w:hint="eastAsia" w:ascii="宋体" w:cs="宋体"/>
          <w:b/>
          <w:bCs/>
          <w:sz w:val="24"/>
          <w:highlight w:val="none"/>
          <w:lang w:val="zh-CN" w:eastAsia="zh-CN"/>
        </w:rPr>
        <w:t>二、项目概况与招标范围</w:t>
      </w:r>
    </w:p>
    <w:p w14:paraId="2389F870">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eastAsia="zh-CN"/>
        </w:rPr>
        <w:t>（</w:t>
      </w:r>
      <w:r>
        <w:rPr>
          <w:rFonts w:hint="eastAsia" w:ascii="宋体" w:eastAsia="宋体" w:cs="宋体"/>
          <w:sz w:val="24"/>
          <w:highlight w:val="none"/>
          <w:lang w:val="en-US" w:eastAsia="zh-CN"/>
        </w:rPr>
        <w:t>1</w:t>
      </w:r>
      <w:r>
        <w:rPr>
          <w:rFonts w:hint="eastAsia" w:ascii="宋体" w:eastAsia="宋体" w:cs="宋体"/>
          <w:sz w:val="24"/>
          <w:highlight w:val="none"/>
          <w:lang w:val="zh-CN" w:eastAsia="zh-CN"/>
        </w:rPr>
        <w:t>）</w:t>
      </w:r>
      <w:r>
        <w:rPr>
          <w:rFonts w:hint="eastAsia" w:ascii="宋体" w:eastAsia="宋体" w:cs="宋体"/>
          <w:sz w:val="24"/>
          <w:highlight w:val="none"/>
          <w:lang w:val="zh-CN"/>
        </w:rPr>
        <w:t>招标内容：巨化集团有限公司（本埠）</w:t>
      </w:r>
      <w:r>
        <w:rPr>
          <w:rFonts w:hint="eastAsia" w:ascii="宋体" w:eastAsia="宋体" w:cs="宋体"/>
          <w:sz w:val="24"/>
          <w:highlight w:val="none"/>
          <w:lang w:val="zh-CN" w:eastAsia="zh-CN"/>
        </w:rPr>
        <w:t>2025年度</w:t>
      </w:r>
      <w:r>
        <w:rPr>
          <w:rFonts w:hint="eastAsia" w:ascii="宋体" w:eastAsia="宋体" w:cs="宋体"/>
          <w:sz w:val="24"/>
          <w:highlight w:val="none"/>
          <w:lang w:val="zh-CN"/>
        </w:rPr>
        <w:t xml:space="preserve">危险废物处置利用服务（含运输）项目入围项目服务费用暂估 </w:t>
      </w:r>
      <w:r>
        <w:rPr>
          <w:rFonts w:hint="eastAsia" w:ascii="宋体" w:eastAsia="宋体" w:cs="宋体"/>
          <w:sz w:val="24"/>
          <w:highlight w:val="none"/>
          <w:lang w:val="en-US" w:eastAsia="zh-CN"/>
        </w:rPr>
        <w:t>4800</w:t>
      </w:r>
      <w:r>
        <w:rPr>
          <w:rFonts w:hint="eastAsia" w:ascii="宋体" w:eastAsia="宋体" w:cs="宋体"/>
          <w:sz w:val="24"/>
          <w:highlight w:val="none"/>
          <w:lang w:val="zh-CN"/>
        </w:rPr>
        <w:t>万元。本次招标为公开招标、向整个巨化集团有限公司投标。</w:t>
      </w:r>
    </w:p>
    <w:p w14:paraId="75AF70EA">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eastAsia="zh-CN"/>
        </w:rPr>
        <w:t>（</w:t>
      </w:r>
      <w:r>
        <w:rPr>
          <w:rFonts w:hint="eastAsia" w:ascii="宋体" w:eastAsia="宋体" w:cs="宋体"/>
          <w:sz w:val="24"/>
          <w:highlight w:val="none"/>
          <w:lang w:val="en-US" w:eastAsia="zh-CN"/>
        </w:rPr>
        <w:t>2</w:t>
      </w:r>
      <w:r>
        <w:rPr>
          <w:rFonts w:hint="eastAsia" w:ascii="宋体" w:eastAsia="宋体" w:cs="宋体"/>
          <w:sz w:val="24"/>
          <w:highlight w:val="none"/>
          <w:lang w:val="zh-CN" w:eastAsia="zh-CN"/>
        </w:rPr>
        <w:t>）</w:t>
      </w:r>
      <w:r>
        <w:rPr>
          <w:rFonts w:hint="eastAsia" w:ascii="宋体" w:eastAsia="宋体" w:cs="宋体"/>
          <w:sz w:val="24"/>
          <w:highlight w:val="none"/>
          <w:lang w:val="zh-CN"/>
        </w:rPr>
        <w:t>服务方式：危险废物处置利用服务。</w:t>
      </w:r>
    </w:p>
    <w:p w14:paraId="312965BD">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w:t>
      </w:r>
      <w:r>
        <w:rPr>
          <w:rFonts w:hint="eastAsia" w:ascii="宋体" w:eastAsia="宋体" w:cs="宋体"/>
          <w:sz w:val="24"/>
          <w:highlight w:val="none"/>
          <w:lang w:val="en-US" w:eastAsia="zh-CN"/>
        </w:rPr>
        <w:t>3</w:t>
      </w:r>
      <w:r>
        <w:rPr>
          <w:rFonts w:hint="eastAsia" w:ascii="宋体" w:eastAsia="宋体" w:cs="宋体"/>
          <w:sz w:val="24"/>
          <w:highlight w:val="none"/>
          <w:lang w:val="zh-CN"/>
        </w:rPr>
        <w:t>）服务期：1年。</w:t>
      </w:r>
    </w:p>
    <w:p w14:paraId="3717AFB5">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w:t>
      </w:r>
      <w:r>
        <w:rPr>
          <w:rFonts w:hint="eastAsia" w:ascii="宋体" w:eastAsia="宋体" w:cs="宋体"/>
          <w:sz w:val="24"/>
          <w:highlight w:val="none"/>
          <w:lang w:val="en-US" w:eastAsia="zh-CN"/>
        </w:rPr>
        <w:t>4</w:t>
      </w:r>
      <w:r>
        <w:rPr>
          <w:rFonts w:hint="eastAsia" w:ascii="宋体" w:eastAsia="宋体" w:cs="宋体"/>
          <w:sz w:val="24"/>
          <w:highlight w:val="none"/>
          <w:lang w:val="zh-CN"/>
        </w:rPr>
        <w:t>）服务地点：巨化集团内下属各二级单位</w:t>
      </w:r>
    </w:p>
    <w:p w14:paraId="09130CD2">
      <w:pPr>
        <w:snapToGrid w:val="0"/>
        <w:spacing w:line="440" w:lineRule="exact"/>
        <w:jc w:val="left"/>
        <w:rPr>
          <w:rFonts w:hint="eastAsia" w:ascii="宋体" w:eastAsia="宋体" w:cs="宋体"/>
          <w:b/>
          <w:bCs/>
          <w:sz w:val="24"/>
          <w:highlight w:val="none"/>
        </w:rPr>
      </w:pPr>
      <w:r>
        <w:rPr>
          <w:rFonts w:hint="eastAsia" w:ascii="宋体" w:cs="宋体"/>
          <w:b/>
          <w:bCs/>
          <w:sz w:val="24"/>
          <w:highlight w:val="none"/>
          <w:lang w:val="en-US" w:eastAsia="zh-CN"/>
        </w:rPr>
        <w:t>三</w:t>
      </w:r>
      <w:r>
        <w:rPr>
          <w:rFonts w:hint="eastAsia" w:ascii="宋体" w:eastAsia="宋体" w:cs="宋体"/>
          <w:b/>
          <w:bCs/>
          <w:sz w:val="24"/>
          <w:highlight w:val="none"/>
        </w:rPr>
        <w:t>、投标人资格要求</w:t>
      </w:r>
    </w:p>
    <w:p w14:paraId="1BB2F680">
      <w:pPr>
        <w:snapToGrid w:val="0"/>
        <w:spacing w:line="440" w:lineRule="exact"/>
        <w:ind w:firstLine="424" w:firstLineChars="177"/>
        <w:rPr>
          <w:rFonts w:hint="eastAsia" w:ascii="宋体" w:cs="宋体"/>
          <w:sz w:val="24"/>
        </w:rPr>
      </w:pPr>
      <w:r>
        <w:rPr>
          <w:rFonts w:hint="eastAsia" w:ascii="宋体" w:cs="宋体"/>
          <w:sz w:val="24"/>
        </w:rPr>
        <w:t>（一）基本资格条件：</w:t>
      </w:r>
    </w:p>
    <w:p w14:paraId="73A0E139">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（1）投标人具备独立承担民事责任的能力，未被巨化集团禁止参加采购活动。</w:t>
      </w:r>
    </w:p>
    <w:p w14:paraId="1E71B2EF">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（2）投标人未被“信用中国”（www.creditchina.gov.cn)列入失信被执行人、重大税收违法案件当事人名单。</w:t>
      </w:r>
    </w:p>
    <w:p w14:paraId="12CAF514">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（3）单位负责人为同一人或者存在控股、管理关系的不同单位，存在关联关系的不同单位，不得参加同一标项投标。</w:t>
      </w:r>
    </w:p>
    <w:p w14:paraId="7790E2FD">
      <w:pPr>
        <w:snapToGrid w:val="0"/>
        <w:spacing w:line="360" w:lineRule="auto"/>
        <w:ind w:firstLine="424" w:firstLineChars="177"/>
        <w:rPr>
          <w:rFonts w:hint="eastAsia" w:ascii="宋体" w:eastAsia="宋体" w:cs="宋体"/>
          <w:sz w:val="24"/>
          <w:highlight w:val="none"/>
          <w:lang w:val="zh-CN"/>
        </w:rPr>
      </w:pPr>
      <w:r>
        <w:rPr>
          <w:rFonts w:hint="eastAsia" w:ascii="宋体" w:cs="宋体"/>
          <w:sz w:val="24"/>
        </w:rPr>
        <w:t xml:space="preserve">（二）特定条件（投标文件中提供证明材料）： </w:t>
      </w:r>
    </w:p>
    <w:p w14:paraId="6636A304">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（1）本次招标要求投标人须具有危险废物经营许可证，且经营危废类别中含有招标服务类型</w:t>
      </w:r>
      <w:r>
        <w:rPr>
          <w:rFonts w:hint="eastAsia" w:ascii="宋体" w:eastAsia="宋体" w:cs="宋体"/>
          <w:sz w:val="24"/>
          <w:highlight w:val="none"/>
        </w:rPr>
        <w:t>至少一种</w:t>
      </w:r>
      <w:r>
        <w:rPr>
          <w:rFonts w:hint="eastAsia" w:ascii="宋体" w:eastAsia="宋体" w:cs="宋体"/>
          <w:sz w:val="24"/>
          <w:highlight w:val="none"/>
          <w:lang w:val="zh-CN"/>
        </w:rPr>
        <w:t>废物代码；</w:t>
      </w:r>
    </w:p>
    <w:p w14:paraId="6F849FA0">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（2）投标人具有独立法人资格，有效的营业执照且</w:t>
      </w:r>
      <w:r>
        <w:rPr>
          <w:rFonts w:hint="eastAsia" w:ascii="宋体" w:eastAsia="宋体" w:cs="宋体"/>
          <w:sz w:val="24"/>
          <w:highlight w:val="none"/>
        </w:rPr>
        <w:t>具备</w:t>
      </w:r>
      <w:r>
        <w:rPr>
          <w:rFonts w:hint="eastAsia" w:ascii="宋体" w:eastAsia="宋体" w:cs="宋体"/>
          <w:sz w:val="24"/>
          <w:highlight w:val="none"/>
          <w:lang w:val="zh-CN"/>
        </w:rPr>
        <w:t>从事本项目的</w:t>
      </w:r>
      <w:r>
        <w:rPr>
          <w:rFonts w:hint="eastAsia" w:ascii="宋体" w:eastAsia="宋体" w:cs="宋体"/>
          <w:sz w:val="24"/>
          <w:highlight w:val="none"/>
        </w:rPr>
        <w:t>处置</w:t>
      </w:r>
      <w:r>
        <w:rPr>
          <w:rFonts w:hint="eastAsia" w:ascii="宋体" w:eastAsia="宋体" w:cs="宋体"/>
          <w:sz w:val="24"/>
          <w:highlight w:val="none"/>
          <w:lang w:val="zh-CN"/>
        </w:rPr>
        <w:t>能力；</w:t>
      </w:r>
    </w:p>
    <w:p w14:paraId="12B61DC2">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（3）投标人工机具齐全；（须提供危险废物运输服务合同（或协议）</w:t>
      </w:r>
      <w:r>
        <w:rPr>
          <w:rFonts w:hint="eastAsia" w:ascii="宋体" w:eastAsia="宋体" w:cs="宋体"/>
          <w:sz w:val="24"/>
          <w:highlight w:val="none"/>
        </w:rPr>
        <w:t>及运输单位的危废运输资质</w:t>
      </w:r>
      <w:r>
        <w:rPr>
          <w:rFonts w:hint="eastAsia" w:ascii="宋体" w:eastAsia="宋体" w:cs="宋体"/>
          <w:sz w:val="24"/>
          <w:highlight w:val="none"/>
          <w:lang w:val="zh-CN"/>
        </w:rPr>
        <w:t>，需保证车辆设备的适应性，并符合交通运行及环保要求，运输车辆按照规定安装GPS；同时按《中华人民共和国固体废物污染环境防治法》要求实施危废处置利用转移联单运输；）</w:t>
      </w:r>
    </w:p>
    <w:p w14:paraId="5E67D4A8">
      <w:pPr>
        <w:snapToGrid w:val="0"/>
        <w:spacing w:line="440" w:lineRule="exact"/>
        <w:ind w:firstLine="600" w:firstLineChars="250"/>
        <w:jc w:val="left"/>
        <w:rPr>
          <w:rFonts w:hint="eastAsia" w:ascii="宋体" w:eastAsia="宋体" w:cs="宋体"/>
          <w:sz w:val="24"/>
          <w:highlight w:val="none"/>
          <w:lang w:val="zh-CN"/>
        </w:rPr>
      </w:pPr>
      <w:r>
        <w:rPr>
          <w:rFonts w:hint="eastAsia" w:ascii="宋体" w:eastAsia="宋体" w:cs="宋体"/>
          <w:sz w:val="24"/>
          <w:highlight w:val="none"/>
          <w:lang w:val="zh-CN"/>
        </w:rPr>
        <w:t>（</w:t>
      </w:r>
      <w:r>
        <w:rPr>
          <w:rFonts w:hint="eastAsia" w:ascii="宋体" w:cs="宋体"/>
          <w:sz w:val="24"/>
          <w:highlight w:val="none"/>
          <w:lang w:val="en-US" w:eastAsia="zh-CN"/>
        </w:rPr>
        <w:t>4</w:t>
      </w:r>
      <w:r>
        <w:rPr>
          <w:rFonts w:hint="eastAsia" w:ascii="宋体" w:eastAsia="宋体" w:cs="宋体"/>
          <w:sz w:val="24"/>
          <w:highlight w:val="none"/>
          <w:lang w:val="zh-CN"/>
        </w:rPr>
        <w:t>）在巨化集团内无拖欠工资、盗窃等不良行为记录；</w:t>
      </w:r>
    </w:p>
    <w:p w14:paraId="57DB5426">
      <w:pPr>
        <w:snapToGrid w:val="0"/>
        <w:spacing w:line="360" w:lineRule="auto"/>
        <w:ind w:firstLine="424" w:firstLineChars="176"/>
        <w:rPr>
          <w:rFonts w:hint="eastAsia" w:ascii="宋体" w:cs="宋体"/>
          <w:sz w:val="24"/>
        </w:rPr>
      </w:pPr>
      <w:r>
        <w:rPr>
          <w:rFonts w:hint="eastAsia" w:ascii="宋体" w:cs="宋体"/>
          <w:b/>
          <w:sz w:val="24"/>
        </w:rPr>
        <w:t>四、获取招标文件的时间：</w:t>
      </w:r>
      <w:r>
        <w:rPr>
          <w:rFonts w:hint="eastAsia" w:ascii="宋体" w:cs="宋体"/>
          <w:sz w:val="24"/>
        </w:rPr>
        <w:t>招标公告发出之日起至投标截止时间。</w:t>
      </w:r>
    </w:p>
    <w:p w14:paraId="048E5C71">
      <w:pPr>
        <w:snapToGrid w:val="0"/>
        <w:spacing w:line="360" w:lineRule="auto"/>
        <w:ind w:firstLine="424" w:firstLineChars="176"/>
        <w:rPr>
          <w:rFonts w:hint="eastAsia" w:ascii="宋体" w:cs="宋体"/>
          <w:b/>
          <w:sz w:val="24"/>
        </w:rPr>
      </w:pPr>
      <w:r>
        <w:rPr>
          <w:rFonts w:hint="eastAsia" w:ascii="宋体" w:cs="宋体"/>
          <w:b/>
          <w:sz w:val="24"/>
        </w:rPr>
        <w:t>五、获取招标文件的方式：</w:t>
      </w:r>
    </w:p>
    <w:p w14:paraId="2F5C13A0">
      <w:pPr>
        <w:snapToGrid w:val="0"/>
        <w:spacing w:line="360" w:lineRule="auto"/>
        <w:ind w:firstLine="422" w:firstLineChars="176"/>
        <w:rPr>
          <w:rFonts w:hint="eastAsia" w:ascii="宋体" w:cs="宋体"/>
          <w:sz w:val="24"/>
        </w:rPr>
      </w:pPr>
      <w:r>
        <w:rPr>
          <w:rFonts w:hint="eastAsia" w:ascii="宋体" w:cs="宋体"/>
          <w:sz w:val="24"/>
        </w:rPr>
        <w:t>（1）在巨化数字化招采平台（juhua.ccccnet.com）“招标项目信息”栏的本项目招标公告附件中查看。</w:t>
      </w:r>
    </w:p>
    <w:p w14:paraId="4EB8F8C8">
      <w:pPr>
        <w:snapToGrid w:val="0"/>
        <w:spacing w:line="360" w:lineRule="auto"/>
        <w:ind w:firstLine="422" w:firstLineChars="176"/>
        <w:rPr>
          <w:rFonts w:hint="eastAsia" w:ascii="宋体" w:cs="宋体"/>
          <w:sz w:val="24"/>
        </w:rPr>
      </w:pPr>
      <w:r>
        <w:rPr>
          <w:rFonts w:hint="eastAsia" w:ascii="宋体" w:cs="宋体"/>
          <w:sz w:val="24"/>
        </w:rPr>
        <w:t>（2）如有意向参加投标，投标人需在巨化数字化招采平台注册、登录并报名。报名方式：登录巨化数字化招采平台后选择“投标人门户”-“招标公告”选择本项目招标公告的“查看”，在 “②投标”选择“公开报名”-“报名”。递交电子投标文件前还需申领“CA专用数字证书（天谷）”，投标人应充分考虑完成注册、申领数字证书等所需的时间。注册、投标等相关操作方法详见“电子投标投标人操作手册”，获取方式：巨化数字化招采平台首页-“下载中心”-“投标人操作手册（招标）”。</w:t>
      </w:r>
    </w:p>
    <w:p w14:paraId="01C23AE2">
      <w:pPr>
        <w:snapToGrid w:val="0"/>
        <w:spacing w:line="360" w:lineRule="auto"/>
        <w:ind w:firstLine="424" w:firstLineChars="177"/>
        <w:rPr>
          <w:rFonts w:hint="eastAsia" w:ascii="宋体" w:cs="宋体"/>
          <w:sz w:val="24"/>
        </w:rPr>
      </w:pPr>
      <w:r>
        <w:rPr>
          <w:rFonts w:hint="eastAsia" w:ascii="宋体" w:cs="宋体"/>
          <w:sz w:val="24"/>
          <w:highlight w:val="none"/>
          <w:lang w:eastAsia="zh-CN" w:bidi="ar-SA"/>
        </w:rPr>
        <w:t>（</w:t>
      </w:r>
      <w:r>
        <w:rPr>
          <w:rFonts w:hint="eastAsia" w:ascii="宋体" w:cs="宋体"/>
          <w:sz w:val="24"/>
          <w:highlight w:val="none"/>
          <w:lang w:val="en-US" w:eastAsia="zh-CN" w:bidi="ar-SA"/>
        </w:rPr>
        <w:t>3</w:t>
      </w:r>
      <w:r>
        <w:rPr>
          <w:rFonts w:hint="eastAsia" w:ascii="宋体" w:cs="宋体"/>
          <w:sz w:val="24"/>
          <w:highlight w:val="none"/>
          <w:lang w:eastAsia="zh-CN" w:bidi="ar-SA"/>
        </w:rPr>
        <w:t>）</w:t>
      </w:r>
      <w:r>
        <w:rPr>
          <w:rFonts w:hint="eastAsia" w:ascii="宋体" w:cs="宋体"/>
          <w:sz w:val="24"/>
          <w:highlight w:val="none"/>
          <w:lang w:bidi="ar-SA"/>
        </w:rPr>
        <w:t>招标文件资料费：500元人民币，售后不退。</w:t>
      </w:r>
    </w:p>
    <w:p w14:paraId="58AE1531">
      <w:pPr>
        <w:spacing w:before="120" w:beforeLines="50" w:after="120" w:afterLines="50" w:line="360" w:lineRule="auto"/>
        <w:ind w:firstLine="482" w:firstLineChars="200"/>
        <w:rPr>
          <w:rFonts w:hint="eastAsia" w:ascii="宋体" w:cs="宋体"/>
          <w:b/>
          <w:bCs/>
          <w:sz w:val="24"/>
        </w:rPr>
      </w:pPr>
      <w:r>
        <w:rPr>
          <w:rFonts w:hint="eastAsia" w:ascii="宋体" w:cs="宋体"/>
          <w:b/>
          <w:bCs/>
          <w:sz w:val="24"/>
        </w:rPr>
        <w:t>六、递交投标文件的截止时间、开标时间和地点</w:t>
      </w:r>
    </w:p>
    <w:p w14:paraId="6FD62009">
      <w:pPr>
        <w:snapToGrid w:val="0"/>
        <w:spacing w:line="360" w:lineRule="auto"/>
        <w:ind w:firstLine="480" w:firstLineChars="200"/>
        <w:rPr>
          <w:rFonts w:hint="eastAsia" w:ascii="宋体" w:cs="宋体"/>
          <w:sz w:val="24"/>
        </w:rPr>
      </w:pPr>
      <w:r>
        <w:rPr>
          <w:rFonts w:hint="eastAsia" w:ascii="宋体"/>
          <w:sz w:val="24"/>
        </w:rPr>
        <w:t>1.投标截止时间：</w:t>
      </w:r>
      <w:r>
        <w:rPr>
          <w:rFonts w:hint="eastAsia" w:ascii="宋体"/>
          <w:bCs/>
          <w:sz w:val="24"/>
          <w:u w:val="single"/>
        </w:rPr>
        <w:t>2025年</w:t>
      </w:r>
      <w:r>
        <w:rPr>
          <w:rFonts w:hint="eastAsia" w:ascii="宋体"/>
          <w:bCs/>
          <w:sz w:val="24"/>
          <w:u w:val="single"/>
          <w:lang w:val="en-US" w:eastAsia="zh-CN"/>
        </w:rPr>
        <w:t>4</w:t>
      </w:r>
      <w:r>
        <w:rPr>
          <w:rFonts w:hint="eastAsia" w:ascii="宋体"/>
          <w:bCs/>
          <w:sz w:val="24"/>
          <w:u w:val="single"/>
        </w:rPr>
        <w:t xml:space="preserve">月 </w:t>
      </w:r>
      <w:r>
        <w:rPr>
          <w:rFonts w:hint="eastAsia" w:ascii="宋体"/>
          <w:bCs/>
          <w:sz w:val="24"/>
          <w:u w:val="single"/>
          <w:lang w:val="en-US" w:eastAsia="zh-CN"/>
        </w:rPr>
        <w:t>17</w:t>
      </w:r>
      <w:r>
        <w:rPr>
          <w:rFonts w:hint="eastAsia" w:ascii="宋体"/>
          <w:bCs/>
          <w:sz w:val="24"/>
          <w:u w:val="single"/>
        </w:rPr>
        <w:t xml:space="preserve">日 </w:t>
      </w:r>
      <w:r>
        <w:rPr>
          <w:rFonts w:hint="eastAsia" w:ascii="宋体"/>
          <w:bCs/>
          <w:sz w:val="24"/>
          <w:u w:val="single"/>
          <w:lang w:val="en-US" w:eastAsia="zh-CN"/>
        </w:rPr>
        <w:t>09</w:t>
      </w:r>
      <w:r>
        <w:rPr>
          <w:rFonts w:hint="eastAsia" w:ascii="宋体"/>
          <w:bCs/>
          <w:sz w:val="24"/>
          <w:u w:val="single"/>
        </w:rPr>
        <w:t xml:space="preserve"> 时 </w:t>
      </w:r>
      <w:r>
        <w:rPr>
          <w:rFonts w:hint="eastAsia" w:ascii="宋体"/>
          <w:bCs/>
          <w:sz w:val="24"/>
          <w:u w:val="single"/>
          <w:lang w:val="en-US" w:eastAsia="zh-CN"/>
        </w:rPr>
        <w:t>00</w:t>
      </w:r>
      <w:r>
        <w:rPr>
          <w:rFonts w:hint="eastAsia" w:ascii="宋体"/>
          <w:bCs/>
          <w:sz w:val="24"/>
          <w:u w:val="single"/>
        </w:rPr>
        <w:t xml:space="preserve"> 分</w:t>
      </w:r>
      <w:r>
        <w:rPr>
          <w:rFonts w:hint="eastAsia" w:ascii="宋体" w:cs="宋体"/>
          <w:sz w:val="24"/>
        </w:rPr>
        <w:t>（北京时间）</w:t>
      </w:r>
    </w:p>
    <w:p w14:paraId="63B7600D">
      <w:pPr>
        <w:snapToGrid w:val="0"/>
        <w:spacing w:line="360" w:lineRule="auto"/>
        <w:ind w:firstLine="480" w:firstLineChars="200"/>
        <w:rPr>
          <w:sz w:val="24"/>
        </w:rPr>
      </w:pPr>
      <w:r>
        <w:rPr>
          <w:rFonts w:hint="eastAsia" w:ascii="宋体" w:cs="宋体"/>
          <w:bCs/>
          <w:sz w:val="24"/>
        </w:rPr>
        <w:t>2</w:t>
      </w:r>
      <w:r>
        <w:rPr>
          <w:rFonts w:hint="eastAsia" w:ascii="宋体"/>
          <w:sz w:val="24"/>
        </w:rPr>
        <w:t>.解密签到截止时间：</w:t>
      </w:r>
      <w:r>
        <w:rPr>
          <w:rFonts w:hint="eastAsia" w:ascii="宋体"/>
          <w:bCs/>
          <w:sz w:val="24"/>
          <w:u w:val="single"/>
        </w:rPr>
        <w:t>2025年</w:t>
      </w:r>
      <w:r>
        <w:rPr>
          <w:rFonts w:hint="eastAsia" w:ascii="宋体"/>
          <w:bCs/>
          <w:sz w:val="24"/>
          <w:u w:val="single"/>
          <w:lang w:val="en-US" w:eastAsia="zh-CN"/>
        </w:rPr>
        <w:t>4</w:t>
      </w:r>
      <w:r>
        <w:rPr>
          <w:rFonts w:hint="eastAsia" w:ascii="宋体"/>
          <w:bCs/>
          <w:sz w:val="24"/>
          <w:u w:val="single"/>
        </w:rPr>
        <w:t>月</w:t>
      </w:r>
      <w:r>
        <w:rPr>
          <w:rFonts w:hint="eastAsia" w:ascii="宋体"/>
          <w:bCs/>
          <w:sz w:val="24"/>
          <w:u w:val="single"/>
          <w:lang w:val="en-US" w:eastAsia="zh-CN"/>
        </w:rPr>
        <w:t>17</w:t>
      </w:r>
      <w:r>
        <w:rPr>
          <w:rFonts w:hint="eastAsia" w:ascii="宋体"/>
          <w:bCs/>
          <w:sz w:val="24"/>
          <w:u w:val="single"/>
        </w:rPr>
        <w:t xml:space="preserve"> 日 </w:t>
      </w:r>
      <w:r>
        <w:rPr>
          <w:rFonts w:hint="eastAsia" w:ascii="宋体"/>
          <w:bCs/>
          <w:sz w:val="24"/>
          <w:u w:val="single"/>
          <w:lang w:val="en-US" w:eastAsia="zh-CN"/>
        </w:rPr>
        <w:t>09</w:t>
      </w:r>
      <w:r>
        <w:rPr>
          <w:rFonts w:hint="eastAsia" w:ascii="宋体"/>
          <w:bCs/>
          <w:sz w:val="24"/>
          <w:u w:val="single"/>
        </w:rPr>
        <w:t xml:space="preserve"> 时</w:t>
      </w:r>
      <w:r>
        <w:rPr>
          <w:rFonts w:hint="eastAsia" w:ascii="宋体"/>
          <w:bCs/>
          <w:sz w:val="24"/>
          <w:u w:val="single"/>
          <w:lang w:val="en-US" w:eastAsia="zh-CN"/>
        </w:rPr>
        <w:t>30</w:t>
      </w:r>
      <w:r>
        <w:rPr>
          <w:rFonts w:hint="eastAsia" w:ascii="宋体"/>
          <w:bCs/>
          <w:sz w:val="24"/>
          <w:u w:val="single"/>
        </w:rPr>
        <w:t xml:space="preserve"> 分</w:t>
      </w:r>
      <w:r>
        <w:rPr>
          <w:rFonts w:hint="eastAsia" w:ascii="宋体" w:cs="宋体"/>
          <w:sz w:val="24"/>
        </w:rPr>
        <w:t>（北京时间）</w:t>
      </w:r>
    </w:p>
    <w:p w14:paraId="43DD5665">
      <w:pPr>
        <w:spacing w:line="360" w:lineRule="auto"/>
        <w:ind w:firstLine="480" w:firstLineChars="200"/>
        <w:rPr>
          <w:rFonts w:hint="eastAsia" w:ascii="宋体"/>
          <w:sz w:val="24"/>
        </w:rPr>
      </w:pPr>
      <w:r>
        <w:rPr>
          <w:rFonts w:hint="eastAsia" w:ascii="宋体"/>
          <w:sz w:val="24"/>
        </w:rPr>
        <w:t>3.</w:t>
      </w:r>
      <w:r>
        <w:rPr>
          <w:rFonts w:hint="eastAsia" w:ascii="宋体" w:cs="宋体"/>
          <w:bCs/>
          <w:sz w:val="24"/>
        </w:rPr>
        <w:t>投标地点：</w:t>
      </w:r>
      <w:r>
        <w:rPr>
          <w:rFonts w:hint="eastAsia" w:ascii="宋体"/>
          <w:sz w:val="24"/>
        </w:rPr>
        <w:t>巨化数字化招采平台在线递交，无需到场开标。</w:t>
      </w:r>
    </w:p>
    <w:p w14:paraId="53667148">
      <w:pPr>
        <w:spacing w:before="120" w:beforeLines="50" w:after="120" w:afterLines="50" w:line="360" w:lineRule="auto"/>
        <w:ind w:firstLine="482" w:firstLineChars="200"/>
        <w:rPr>
          <w:rFonts w:hint="eastAsia" w:ascii="宋体" w:cs="宋体"/>
          <w:b/>
          <w:bCs/>
          <w:sz w:val="24"/>
        </w:rPr>
      </w:pPr>
      <w:r>
        <w:rPr>
          <w:rFonts w:hint="eastAsia" w:ascii="宋体" w:cs="宋体"/>
          <w:b/>
          <w:bCs/>
          <w:sz w:val="24"/>
        </w:rPr>
        <w:t>七、投标方式</w:t>
      </w:r>
    </w:p>
    <w:p w14:paraId="110EDA2E">
      <w:pPr>
        <w:snapToGrid w:val="0"/>
        <w:spacing w:line="360" w:lineRule="auto"/>
        <w:ind w:firstLine="480" w:firstLineChars="200"/>
        <w:rPr>
          <w:rFonts w:hint="eastAsia" w:ascii="宋体"/>
          <w:sz w:val="24"/>
        </w:rPr>
      </w:pPr>
      <w:r>
        <w:rPr>
          <w:rFonts w:hint="eastAsia" w:ascii="宋体"/>
          <w:sz w:val="24"/>
        </w:rPr>
        <w:t>本项目采用电子招标投标方式，电子招标投标交易平台：</w:t>
      </w:r>
      <w:r>
        <w:rPr>
          <w:rStyle w:val="28"/>
          <w:rFonts w:hint="eastAsia" w:ascii="宋体" w:cs="宋体"/>
          <w:color w:val="auto"/>
          <w:sz w:val="24"/>
        </w:rPr>
        <w:fldChar w:fldCharType="begin"/>
      </w:r>
      <w:r>
        <w:instrText xml:space="preserve">HYPERLINK "https://juhua.ccccnet.com/"</w:instrText>
      </w:r>
      <w:r>
        <w:rPr>
          <w:rStyle w:val="28"/>
          <w:rFonts w:hint="eastAsia" w:ascii="宋体" w:cs="宋体"/>
          <w:color w:val="auto"/>
          <w:sz w:val="24"/>
        </w:rPr>
        <w:fldChar w:fldCharType="separate"/>
      </w:r>
      <w:r>
        <w:rPr>
          <w:rStyle w:val="28"/>
          <w:rFonts w:hint="eastAsia" w:ascii="宋体" w:cs="宋体"/>
          <w:color w:val="auto"/>
          <w:sz w:val="24"/>
        </w:rPr>
        <w:t>巨化数字化招采平台</w:t>
      </w:r>
      <w:r>
        <w:rPr>
          <w:rStyle w:val="28"/>
          <w:rFonts w:hint="eastAsia" w:ascii="宋体" w:cs="宋体"/>
          <w:color w:val="auto"/>
          <w:sz w:val="24"/>
        </w:rPr>
        <w:fldChar w:fldCharType="end"/>
      </w:r>
      <w:r>
        <w:rPr>
          <w:rFonts w:hint="eastAsia" w:ascii="宋体"/>
          <w:sz w:val="24"/>
        </w:rPr>
        <w:t>。</w:t>
      </w:r>
    </w:p>
    <w:p w14:paraId="639AC41C">
      <w:pPr>
        <w:snapToGrid w:val="0"/>
        <w:spacing w:line="360" w:lineRule="auto"/>
        <w:ind w:firstLine="426" w:firstLineChars="177"/>
        <w:rPr>
          <w:rFonts w:hint="eastAsia" w:ascii="宋体" w:cs="宋体"/>
          <w:b/>
          <w:bCs/>
          <w:sz w:val="24"/>
        </w:rPr>
      </w:pPr>
      <w:r>
        <w:rPr>
          <w:rFonts w:hint="eastAsia" w:ascii="宋体" w:cs="宋体"/>
          <w:b/>
          <w:bCs/>
          <w:sz w:val="24"/>
        </w:rPr>
        <w:t>*八、投标保证金：</w:t>
      </w:r>
    </w:p>
    <w:p w14:paraId="26624735">
      <w:pPr>
        <w:snapToGrid w:val="0"/>
        <w:spacing w:line="360" w:lineRule="auto"/>
        <w:ind w:firstLine="424" w:firstLineChars="177"/>
        <w:rPr>
          <w:rFonts w:hint="eastAsia" w:ascii="宋体" w:cs="宋体"/>
          <w:sz w:val="24"/>
        </w:rPr>
      </w:pPr>
      <w:r>
        <w:rPr>
          <w:rFonts w:hint="eastAsia" w:ascii="宋体" w:cs="宋体"/>
          <w:sz w:val="24"/>
        </w:rPr>
        <w:t>金额：</w:t>
      </w:r>
      <w:r>
        <w:rPr>
          <w:rFonts w:hint="eastAsia" w:ascii="宋体" w:cs="宋体"/>
          <w:sz w:val="24"/>
          <w:lang w:val="en-US" w:eastAsia="zh-CN"/>
        </w:rPr>
        <w:t>4</w:t>
      </w:r>
      <w:r>
        <w:rPr>
          <w:rFonts w:hint="eastAsia" w:ascii="宋体" w:cs="宋体"/>
          <w:sz w:val="24"/>
        </w:rPr>
        <w:t>000元整；支付方式：银行汇款、银行转帐等形式；（备注：</w:t>
      </w:r>
      <w:r>
        <w:rPr>
          <w:rFonts w:hint="eastAsia" w:ascii="宋体" w:eastAsia="宋体" w:cs="宋体"/>
          <w:sz w:val="24"/>
          <w:highlight w:val="none"/>
          <w:lang w:val="en-US" w:eastAsia="zh-CN"/>
        </w:rPr>
        <w:t>年度</w:t>
      </w:r>
      <w:r>
        <w:rPr>
          <w:rFonts w:hint="eastAsia" w:ascii="宋体" w:eastAsia="宋体" w:cs="宋体"/>
          <w:sz w:val="24"/>
          <w:highlight w:val="none"/>
          <w:lang w:eastAsia="zh-CN"/>
        </w:rPr>
        <w:t>危险废物处置利用</w:t>
      </w:r>
      <w:r>
        <w:rPr>
          <w:rFonts w:hint="eastAsia" w:ascii="宋体" w:eastAsia="宋体" w:cs="宋体"/>
          <w:sz w:val="24"/>
          <w:highlight w:val="none"/>
        </w:rPr>
        <w:t>保证金</w:t>
      </w:r>
      <w:r>
        <w:rPr>
          <w:rFonts w:hint="eastAsia" w:ascii="宋体" w:cs="宋体"/>
          <w:sz w:val="24"/>
        </w:rPr>
        <w:t>）</w:t>
      </w:r>
    </w:p>
    <w:p w14:paraId="473D70D0">
      <w:pPr>
        <w:snapToGrid w:val="0"/>
        <w:spacing w:line="360" w:lineRule="auto"/>
        <w:ind w:firstLine="424" w:firstLineChars="177"/>
        <w:rPr>
          <w:rFonts w:hint="eastAsia" w:ascii="宋体" w:cs="宋体"/>
          <w:sz w:val="24"/>
        </w:rPr>
      </w:pPr>
      <w:r>
        <w:rPr>
          <w:rFonts w:hint="eastAsia" w:ascii="宋体" w:cs="宋体"/>
          <w:sz w:val="24"/>
        </w:rPr>
        <w:t>收款单位（户名）：浙江南方工程咨询管理有限公司；</w:t>
      </w:r>
    </w:p>
    <w:p w14:paraId="5A82D099">
      <w:pPr>
        <w:snapToGrid w:val="0"/>
        <w:spacing w:line="360" w:lineRule="auto"/>
        <w:ind w:firstLine="424" w:firstLineChars="177"/>
        <w:rPr>
          <w:rFonts w:hint="eastAsia" w:ascii="宋体"/>
          <w:sz w:val="24"/>
        </w:rPr>
      </w:pPr>
      <w:r>
        <w:rPr>
          <w:rFonts w:hint="eastAsia" w:ascii="宋体" w:cs="宋体"/>
          <w:sz w:val="24"/>
        </w:rPr>
        <w:t>开户行：建行衢化支行；账  号：33001685200050002982。</w:t>
      </w:r>
    </w:p>
    <w:p w14:paraId="2036EF6B">
      <w:pPr>
        <w:spacing w:before="120" w:beforeLines="50" w:after="120" w:afterLines="50" w:line="360" w:lineRule="auto"/>
        <w:ind w:firstLine="482" w:firstLineChars="200"/>
        <w:rPr>
          <w:rFonts w:hint="eastAsia" w:ascii="宋体" w:cs="宋体"/>
          <w:b/>
          <w:bCs/>
          <w:sz w:val="24"/>
        </w:rPr>
      </w:pPr>
      <w:r>
        <w:rPr>
          <w:rFonts w:hint="eastAsia" w:ascii="宋体" w:cs="宋体"/>
          <w:b/>
          <w:bCs/>
          <w:sz w:val="24"/>
        </w:rPr>
        <w:t>九、公告信息发布网站</w:t>
      </w:r>
    </w:p>
    <w:p w14:paraId="2EBA77C2">
      <w:pPr>
        <w:snapToGrid w:val="0"/>
        <w:spacing w:line="360" w:lineRule="auto"/>
        <w:ind w:firstLine="480" w:firstLineChars="200"/>
        <w:outlineLvl w:val="1"/>
        <w:rPr>
          <w:rFonts w:hint="eastAsia" w:ascii="宋体" w:cs="宋体"/>
          <w:sz w:val="24"/>
        </w:rPr>
      </w:pPr>
      <w:r>
        <w:rPr>
          <w:rFonts w:hint="eastAsia" w:ascii="宋体" w:cs="宋体"/>
          <w:sz w:val="24"/>
        </w:rPr>
        <w:t>本次招标公告同时在巨化数字化招采平台、浙江政府采购网、浙江企业采购信息服务网上发布。</w:t>
      </w:r>
    </w:p>
    <w:p w14:paraId="5062BBB5">
      <w:pPr>
        <w:spacing w:line="360" w:lineRule="auto"/>
        <w:ind w:firstLine="424" w:firstLineChars="176"/>
        <w:rPr>
          <w:rFonts w:hint="eastAsia" w:ascii="宋体" w:cs="宋体"/>
          <w:sz w:val="24"/>
        </w:rPr>
      </w:pPr>
      <w:r>
        <w:rPr>
          <w:rFonts w:hint="eastAsia" w:ascii="宋体"/>
          <w:b/>
          <w:sz w:val="24"/>
        </w:rPr>
        <w:t>十、其他补充事项：</w:t>
      </w:r>
      <w:r>
        <w:rPr>
          <w:rFonts w:hint="eastAsia" w:ascii="宋体" w:cs="宋体"/>
          <w:sz w:val="24"/>
        </w:rPr>
        <w:t>电子交易平台如有其他要求的，应遵循电子交易平台要求。</w:t>
      </w:r>
    </w:p>
    <w:p w14:paraId="3A965B9F">
      <w:pPr>
        <w:snapToGrid w:val="0"/>
        <w:spacing w:line="360" w:lineRule="auto"/>
        <w:ind w:firstLine="426" w:firstLineChars="177"/>
        <w:rPr>
          <w:rFonts w:hint="eastAsia" w:ascii="宋体" w:cs="宋体"/>
          <w:b/>
          <w:bCs/>
          <w:sz w:val="24"/>
        </w:rPr>
      </w:pPr>
      <w:r>
        <w:rPr>
          <w:rFonts w:hint="eastAsia" w:ascii="宋体" w:cs="宋体"/>
          <w:b/>
          <w:bCs/>
          <w:sz w:val="24"/>
        </w:rPr>
        <w:t>十一、联系方法：</w:t>
      </w:r>
    </w:p>
    <w:p w14:paraId="073972D3">
      <w:pPr>
        <w:snapToGrid w:val="0"/>
        <w:spacing w:line="440" w:lineRule="exact"/>
        <w:ind w:firstLine="424" w:firstLineChars="177"/>
        <w:rPr>
          <w:rStyle w:val="116"/>
          <w:rFonts w:hint="eastAsia" w:ascii="宋体" w:eastAsia="宋体" w:cs="宋体"/>
          <w:sz w:val="24"/>
          <w:highlight w:val="none"/>
          <w:lang w:eastAsia="zh-CN"/>
        </w:rPr>
      </w:pPr>
      <w:r>
        <w:rPr>
          <w:rStyle w:val="116"/>
          <w:rFonts w:hint="eastAsia" w:ascii="宋体" w:eastAsia="宋体" w:cs="宋体"/>
          <w:sz w:val="24"/>
          <w:highlight w:val="none"/>
        </w:rPr>
        <w:t>招 标 人：</w:t>
      </w:r>
      <w:r>
        <w:rPr>
          <w:rStyle w:val="116"/>
          <w:rFonts w:hint="eastAsia" w:ascii="宋体" w:eastAsia="宋体" w:cs="宋体"/>
          <w:sz w:val="24"/>
          <w:highlight w:val="none"/>
          <w:lang w:eastAsia="zh-CN"/>
        </w:rPr>
        <w:t>巨化集团有限公司</w:t>
      </w:r>
    </w:p>
    <w:p w14:paraId="130EAFCE">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lang w:val="en-US" w:eastAsia="zh-CN"/>
        </w:rPr>
        <w:t>联系人：倪晓斌   联系电话：13957026420</w:t>
      </w:r>
    </w:p>
    <w:p w14:paraId="3D7DB40C">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招标代理机构：浙江南方工程咨询管理有限公司</w:t>
      </w:r>
    </w:p>
    <w:p w14:paraId="2FA2F2C5">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地址：浙江衢州市柯城区衢化街道文苑村31幢208-210室</w:t>
      </w:r>
    </w:p>
    <w:p w14:paraId="1FDE1A4A">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联系人：王靓</w:t>
      </w:r>
    </w:p>
    <w:p w14:paraId="0AB6FE5F">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联系电话：13059721359（585525）</w:t>
      </w:r>
    </w:p>
    <w:p w14:paraId="335500BF">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Mail：1966640845@qq.com</w:t>
      </w:r>
    </w:p>
    <w:p w14:paraId="1A08CDC0">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监督部门：巨化招标办公室</w:t>
      </w:r>
    </w:p>
    <w:p w14:paraId="0A102D95">
      <w:pPr>
        <w:snapToGrid w:val="0"/>
        <w:spacing w:line="440" w:lineRule="exact"/>
        <w:ind w:firstLine="424" w:firstLineChars="177"/>
        <w:rPr>
          <w:rStyle w:val="116"/>
          <w:rFonts w:hint="eastAsia" w:ascii="宋体" w:eastAsia="宋体" w:cs="宋体"/>
          <w:sz w:val="24"/>
          <w:highlight w:val="none"/>
        </w:rPr>
      </w:pPr>
      <w:r>
        <w:rPr>
          <w:rStyle w:val="116"/>
          <w:rFonts w:hint="eastAsia" w:ascii="宋体" w:eastAsia="宋体" w:cs="宋体"/>
          <w:sz w:val="24"/>
          <w:highlight w:val="none"/>
        </w:rPr>
        <w:t>联系电话：0570-3091876</w:t>
      </w:r>
    </w:p>
    <w:p w14:paraId="70CF3D13">
      <w:pPr>
        <w:pStyle w:val="2"/>
        <w:spacing w:line="384" w:lineRule="exact"/>
        <w:jc w:val="center"/>
        <w:rPr>
          <w:rFonts w:hint="eastAsia" w:ascii="宋体" w:eastAsia="宋体" w:cs="宋体"/>
          <w:b/>
          <w:bCs/>
          <w:sz w:val="30"/>
          <w:szCs w:val="30"/>
          <w:highlight w:val="none"/>
        </w:rPr>
      </w:pPr>
    </w:p>
    <w:bookmarkEnd w:id="30"/>
    <w:p w14:paraId="6880BD44">
      <w:pPr>
        <w:pStyle w:val="4"/>
        <w:rPr>
          <w:rFonts w:hint="eastAsia" w:ascii="宋体" w:eastAsia="宋体" w:cs="宋体"/>
          <w:b/>
          <w:bCs/>
          <w:sz w:val="30"/>
          <w:szCs w:val="30"/>
          <w:highlight w:val="none"/>
        </w:rPr>
      </w:pPr>
    </w:p>
    <w:p w14:paraId="3342F0EF">
      <w:pPr>
        <w:rPr>
          <w:rFonts w:hint="eastAsia" w:ascii="宋体" w:eastAsia="宋体" w:cs="宋体"/>
          <w:b/>
          <w:bCs/>
          <w:sz w:val="30"/>
          <w:szCs w:val="30"/>
          <w:highlight w:val="none"/>
        </w:rPr>
      </w:pPr>
    </w:p>
    <w:p w14:paraId="7DCD6954">
      <w:pPr>
        <w:pStyle w:val="6"/>
        <w:rPr>
          <w:rFonts w:hint="eastAsia" w:ascii="宋体" w:eastAsia="宋体" w:cs="宋体"/>
          <w:b/>
          <w:bCs/>
          <w:sz w:val="30"/>
          <w:szCs w:val="30"/>
          <w:highlight w:val="none"/>
        </w:rPr>
      </w:pPr>
    </w:p>
    <w:p w14:paraId="0AD30D2B">
      <w:pPr>
        <w:rPr>
          <w:rFonts w:hint="eastAsia" w:ascii="宋体" w:eastAsia="宋体" w:cs="宋体"/>
          <w:b/>
          <w:bCs/>
          <w:sz w:val="30"/>
          <w:szCs w:val="30"/>
          <w:highlight w:val="none"/>
        </w:rPr>
      </w:pPr>
    </w:p>
    <w:p w14:paraId="60624EC6">
      <w:pPr>
        <w:pStyle w:val="6"/>
        <w:rPr>
          <w:rFonts w:hint="eastAsia" w:ascii="宋体" w:eastAsia="宋体" w:cs="宋体"/>
          <w:b/>
          <w:bCs/>
          <w:sz w:val="30"/>
          <w:szCs w:val="30"/>
          <w:highlight w:val="none"/>
        </w:rPr>
      </w:pPr>
    </w:p>
    <w:p w14:paraId="338D9829">
      <w:pPr>
        <w:rPr>
          <w:rFonts w:hint="eastAsia" w:ascii="宋体" w:eastAsia="宋体" w:cs="宋体"/>
          <w:b/>
          <w:bCs/>
          <w:sz w:val="30"/>
          <w:szCs w:val="30"/>
          <w:highlight w:val="none"/>
        </w:rPr>
      </w:pPr>
    </w:p>
    <w:p w14:paraId="57E3C9D6">
      <w:pPr>
        <w:pStyle w:val="6"/>
        <w:rPr>
          <w:rFonts w:hint="eastAsia" w:ascii="宋体" w:eastAsia="宋体" w:cs="宋体"/>
          <w:b/>
          <w:bCs/>
          <w:sz w:val="30"/>
          <w:szCs w:val="30"/>
          <w:highlight w:val="none"/>
        </w:rPr>
      </w:pPr>
    </w:p>
    <w:p w14:paraId="5E862268">
      <w:pPr>
        <w:rPr>
          <w:rFonts w:hint="eastAsia" w:ascii="宋体" w:eastAsia="宋体" w:cs="宋体"/>
          <w:b/>
          <w:bCs/>
          <w:sz w:val="30"/>
          <w:szCs w:val="30"/>
          <w:highlight w:val="none"/>
        </w:rPr>
      </w:pPr>
    </w:p>
    <w:p w14:paraId="4E48E75D">
      <w:pPr>
        <w:pStyle w:val="6"/>
        <w:rPr>
          <w:rFonts w:hint="eastAsia" w:ascii="宋体" w:eastAsia="宋体" w:cs="宋体"/>
          <w:b/>
          <w:bCs/>
          <w:sz w:val="30"/>
          <w:szCs w:val="30"/>
          <w:highlight w:val="none"/>
        </w:rPr>
      </w:pPr>
    </w:p>
    <w:p w14:paraId="46B4126A">
      <w:pPr>
        <w:rPr>
          <w:rFonts w:hint="eastAsia" w:ascii="宋体" w:eastAsia="宋体" w:cs="宋体"/>
          <w:b/>
          <w:bCs/>
          <w:sz w:val="30"/>
          <w:szCs w:val="30"/>
          <w:highlight w:val="none"/>
        </w:rPr>
      </w:pPr>
    </w:p>
    <w:p w14:paraId="792BF3F1">
      <w:pPr>
        <w:pStyle w:val="6"/>
        <w:rPr>
          <w:rFonts w:hint="eastAsia" w:ascii="宋体" w:eastAsia="宋体" w:cs="宋体"/>
          <w:b/>
          <w:bCs/>
          <w:sz w:val="30"/>
          <w:szCs w:val="30"/>
          <w:highlight w:val="none"/>
        </w:rPr>
      </w:pPr>
    </w:p>
    <w:p w14:paraId="7E9A5555">
      <w:pPr>
        <w:rPr>
          <w:rFonts w:hint="eastAsia" w:ascii="宋体" w:eastAsia="宋体" w:cs="宋体"/>
          <w:b/>
          <w:bCs/>
          <w:sz w:val="30"/>
          <w:szCs w:val="30"/>
          <w:highlight w:val="none"/>
        </w:rPr>
      </w:pPr>
    </w:p>
    <w:p w14:paraId="65C3EE7F">
      <w:pPr>
        <w:rPr>
          <w:rFonts w:hint="eastAsia" w:ascii="宋体" w:eastAsia="宋体" w:cs="宋体"/>
          <w:b/>
          <w:bCs/>
          <w:sz w:val="30"/>
          <w:szCs w:val="30"/>
          <w:highlight w:val="none"/>
        </w:rPr>
      </w:pPr>
    </w:p>
    <w:p w14:paraId="01604FAC">
      <w:pPr>
        <w:rPr>
          <w:rFonts w:hint="eastAsia" w:ascii="宋体" w:eastAsia="宋体" w:cs="宋体"/>
          <w:b/>
          <w:bCs/>
          <w:sz w:val="30"/>
          <w:szCs w:val="30"/>
          <w:highlight w:val="none"/>
        </w:rPr>
      </w:pPr>
    </w:p>
    <w:p w14:paraId="08CE4733">
      <w:pPr>
        <w:rPr>
          <w:rFonts w:hint="eastAsia"/>
        </w:rPr>
      </w:pPr>
    </w:p>
    <w:p w14:paraId="70ED85C4">
      <w:pPr>
        <w:rPr>
          <w:rFonts w:hint="eastAsia" w:ascii="宋体" w:eastAsia="宋体" w:cs="宋体"/>
          <w:b/>
          <w:bCs/>
          <w:sz w:val="30"/>
          <w:szCs w:val="30"/>
          <w:highlight w:val="none"/>
        </w:rPr>
      </w:pPr>
    </w:p>
    <w:p w14:paraId="6CE0F428">
      <w:pPr>
        <w:pStyle w:val="2"/>
        <w:spacing w:line="384" w:lineRule="exact"/>
        <w:jc w:val="center"/>
        <w:outlineLvl w:val="0"/>
        <w:rPr>
          <w:rFonts w:hint="eastAsia" w:ascii="宋体" w:eastAsia="宋体" w:cs="宋体"/>
          <w:b/>
          <w:bCs/>
          <w:sz w:val="30"/>
          <w:szCs w:val="30"/>
          <w:highlight w:val="none"/>
        </w:rPr>
      </w:pPr>
      <w:bookmarkStart w:id="3" w:name="_Toc13361"/>
    </w:p>
    <w:p w14:paraId="503ED936">
      <w:pPr>
        <w:pStyle w:val="2"/>
        <w:spacing w:line="384" w:lineRule="exact"/>
        <w:jc w:val="center"/>
        <w:outlineLvl w:val="0"/>
        <w:rPr>
          <w:rFonts w:hint="eastAsia" w:ascii="宋体" w:eastAsia="宋体" w:cs="宋体"/>
          <w:b/>
          <w:bCs/>
          <w:sz w:val="30"/>
          <w:szCs w:val="30"/>
          <w:highlight w:val="none"/>
        </w:rPr>
      </w:pPr>
      <w:r>
        <w:rPr>
          <w:rFonts w:hint="eastAsia" w:ascii="宋体" w:eastAsia="宋体" w:cs="宋体"/>
          <w:b/>
          <w:bCs/>
          <w:sz w:val="30"/>
          <w:szCs w:val="30"/>
          <w:highlight w:val="none"/>
        </w:rPr>
        <w:t>第二章  投标人须知</w:t>
      </w:r>
      <w:bookmarkEnd w:id="3"/>
    </w:p>
    <w:p w14:paraId="576DAAEF">
      <w:pPr>
        <w:snapToGrid w:val="0"/>
        <w:spacing w:line="384" w:lineRule="exact"/>
        <w:jc w:val="center"/>
        <w:rPr>
          <w:rFonts w:hint="eastAsia" w:ascii="宋体" w:eastAsia="宋体" w:cs="宋体"/>
          <w:b/>
          <w:bCs/>
          <w:sz w:val="30"/>
          <w:szCs w:val="30"/>
          <w:highlight w:val="none"/>
        </w:rPr>
      </w:pPr>
      <w:r>
        <w:rPr>
          <w:rFonts w:hint="eastAsia" w:ascii="宋体" w:eastAsia="宋体" w:cs="宋体"/>
          <w:b/>
          <w:bCs/>
          <w:sz w:val="30"/>
          <w:szCs w:val="30"/>
          <w:highlight w:val="none"/>
        </w:rPr>
        <w:t>投标人须知前附表</w:t>
      </w:r>
    </w:p>
    <w:tbl>
      <w:tblPr>
        <w:tblStyle w:val="23"/>
        <w:tblW w:w="510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85"/>
        <w:gridCol w:w="1366"/>
        <w:gridCol w:w="8003"/>
      </w:tblGrid>
      <w:tr w14:paraId="63A4F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12455AC7">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条款号</w:t>
            </w:r>
          </w:p>
        </w:tc>
        <w:tc>
          <w:tcPr>
            <w:tcW w:w="686" w:type="pct"/>
            <w:tcBorders>
              <w:top w:val="single" w:color="000000" w:sz="4" w:space="0"/>
              <w:left w:val="single" w:color="000000" w:sz="4" w:space="0"/>
              <w:bottom w:val="single" w:color="000000" w:sz="4" w:space="0"/>
              <w:right w:val="single" w:color="000000" w:sz="4" w:space="0"/>
            </w:tcBorders>
            <w:vAlign w:val="center"/>
          </w:tcPr>
          <w:p w14:paraId="76350873">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条  款  名  称</w:t>
            </w:r>
          </w:p>
        </w:tc>
        <w:tc>
          <w:tcPr>
            <w:tcW w:w="4019" w:type="pct"/>
            <w:tcBorders>
              <w:top w:val="single" w:color="000000" w:sz="4" w:space="0"/>
              <w:left w:val="single" w:color="000000" w:sz="4" w:space="0"/>
              <w:bottom w:val="single" w:color="000000" w:sz="4" w:space="0"/>
              <w:right w:val="single" w:color="000000" w:sz="4" w:space="0"/>
            </w:tcBorders>
            <w:vAlign w:val="center"/>
          </w:tcPr>
          <w:p w14:paraId="2C3119DE">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编  列  内  容</w:t>
            </w:r>
          </w:p>
        </w:tc>
      </w:tr>
      <w:tr w14:paraId="7E001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1C372F99">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w:t>
            </w:r>
          </w:p>
        </w:tc>
        <w:tc>
          <w:tcPr>
            <w:tcW w:w="686" w:type="pct"/>
            <w:tcBorders>
              <w:top w:val="single" w:color="000000" w:sz="4" w:space="0"/>
              <w:left w:val="single" w:color="000000" w:sz="4" w:space="0"/>
              <w:bottom w:val="single" w:color="000000" w:sz="4" w:space="0"/>
              <w:right w:val="single" w:color="000000" w:sz="4" w:space="0"/>
            </w:tcBorders>
            <w:vAlign w:val="center"/>
          </w:tcPr>
          <w:p w14:paraId="5520EF53">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招标人</w:t>
            </w:r>
          </w:p>
        </w:tc>
        <w:tc>
          <w:tcPr>
            <w:tcW w:w="4019" w:type="pct"/>
            <w:tcBorders>
              <w:top w:val="single" w:color="000000" w:sz="4" w:space="0"/>
              <w:left w:val="single" w:color="000000" w:sz="4" w:space="0"/>
              <w:bottom w:val="single" w:color="000000" w:sz="4" w:space="0"/>
              <w:right w:val="single" w:color="000000" w:sz="4" w:space="0"/>
            </w:tcBorders>
            <w:vAlign w:val="center"/>
          </w:tcPr>
          <w:p w14:paraId="37B2A64B">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招标人：</w:t>
            </w:r>
            <w:r>
              <w:rPr>
                <w:rStyle w:val="116"/>
                <w:rFonts w:hint="eastAsia" w:ascii="宋体" w:eastAsia="宋体" w:cs="宋体"/>
                <w:sz w:val="24"/>
                <w:highlight w:val="none"/>
                <w:lang w:eastAsia="zh-CN"/>
              </w:rPr>
              <w:t>巨化集团有限公司</w:t>
            </w:r>
          </w:p>
          <w:p w14:paraId="0047F258">
            <w:pPr>
              <w:snapToGrid w:val="0"/>
              <w:spacing w:line="400" w:lineRule="exact"/>
              <w:jc w:val="left"/>
              <w:rPr>
                <w:rFonts w:hint="eastAsia" w:ascii="宋体" w:eastAsia="宋体" w:cs="宋体"/>
                <w:sz w:val="24"/>
                <w:highlight w:val="none"/>
              </w:rPr>
            </w:pPr>
            <w:r>
              <w:rPr>
                <w:rStyle w:val="116"/>
                <w:rFonts w:hint="eastAsia" w:ascii="宋体" w:eastAsia="宋体" w:cs="宋体"/>
                <w:sz w:val="24"/>
                <w:highlight w:val="none"/>
                <w:lang w:val="en-US" w:eastAsia="zh-CN"/>
              </w:rPr>
              <w:t>联系人：倪晓斌   联系电话：13957026420</w:t>
            </w:r>
          </w:p>
        </w:tc>
      </w:tr>
      <w:tr w14:paraId="0012A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7E857B59">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2</w:t>
            </w:r>
          </w:p>
        </w:tc>
        <w:tc>
          <w:tcPr>
            <w:tcW w:w="686" w:type="pct"/>
            <w:tcBorders>
              <w:top w:val="single" w:color="000000" w:sz="4" w:space="0"/>
              <w:left w:val="single" w:color="000000" w:sz="4" w:space="0"/>
              <w:bottom w:val="single" w:color="000000" w:sz="4" w:space="0"/>
              <w:right w:val="single" w:color="000000" w:sz="4" w:space="0"/>
            </w:tcBorders>
            <w:vAlign w:val="center"/>
          </w:tcPr>
          <w:p w14:paraId="6F814889">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招标代理机构</w:t>
            </w:r>
          </w:p>
        </w:tc>
        <w:tc>
          <w:tcPr>
            <w:tcW w:w="4019" w:type="pct"/>
            <w:tcBorders>
              <w:top w:val="single" w:color="000000" w:sz="4" w:space="0"/>
              <w:left w:val="single" w:color="000000" w:sz="4" w:space="0"/>
              <w:bottom w:val="single" w:color="000000" w:sz="4" w:space="0"/>
              <w:right w:val="single" w:color="000000" w:sz="4" w:space="0"/>
            </w:tcBorders>
            <w:vAlign w:val="center"/>
          </w:tcPr>
          <w:p w14:paraId="4CFE9C8B">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招标代理机构：浙江南方工程咨询管理有限公司</w:t>
            </w:r>
          </w:p>
          <w:p w14:paraId="030BA5DA">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地址：浙江省衢州市柯城区衢化街道文苑村31幢</w:t>
            </w:r>
          </w:p>
          <w:p w14:paraId="0655DE75">
            <w:pPr>
              <w:snapToGrid w:val="0"/>
              <w:spacing w:line="400" w:lineRule="exact"/>
              <w:jc w:val="left"/>
              <w:rPr>
                <w:rFonts w:hint="eastAsia" w:ascii="宋体" w:eastAsia="宋体" w:cs="宋体"/>
                <w:sz w:val="24"/>
                <w:highlight w:val="none"/>
              </w:rPr>
            </w:pPr>
            <w:r>
              <w:rPr>
                <w:rStyle w:val="116"/>
                <w:rFonts w:hint="eastAsia" w:ascii="宋体" w:eastAsia="宋体" w:cs="宋体"/>
                <w:sz w:val="24"/>
                <w:highlight w:val="none"/>
              </w:rPr>
              <w:t>联系人：</w:t>
            </w:r>
            <w:r>
              <w:rPr>
                <w:rStyle w:val="116"/>
                <w:rFonts w:hint="eastAsia" w:ascii="宋体" w:eastAsia="宋体" w:cs="宋体"/>
                <w:sz w:val="24"/>
                <w:highlight w:val="none"/>
                <w:lang w:val="zh-CN"/>
              </w:rPr>
              <w:t>王靓</w:t>
            </w:r>
            <w:r>
              <w:rPr>
                <w:rStyle w:val="116"/>
                <w:rFonts w:hint="eastAsia" w:ascii="宋体" w:eastAsia="宋体" w:cs="宋体"/>
                <w:sz w:val="24"/>
                <w:highlight w:val="none"/>
              </w:rPr>
              <w:t xml:space="preserve">  联系电话：</w:t>
            </w:r>
            <w:r>
              <w:rPr>
                <w:rStyle w:val="116"/>
                <w:rFonts w:hint="eastAsia" w:ascii="宋体" w:eastAsia="宋体" w:cs="宋体"/>
                <w:sz w:val="24"/>
                <w:highlight w:val="none"/>
                <w:lang w:val="zh-CN"/>
              </w:rPr>
              <w:t>13059721359（585525）</w:t>
            </w:r>
          </w:p>
        </w:tc>
      </w:tr>
      <w:tr w14:paraId="21C2D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51727BC8">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3</w:t>
            </w:r>
          </w:p>
        </w:tc>
        <w:tc>
          <w:tcPr>
            <w:tcW w:w="686" w:type="pct"/>
            <w:tcBorders>
              <w:top w:val="single" w:color="000000" w:sz="4" w:space="0"/>
              <w:left w:val="single" w:color="000000" w:sz="4" w:space="0"/>
              <w:bottom w:val="single" w:color="000000" w:sz="4" w:space="0"/>
              <w:right w:val="single" w:color="000000" w:sz="4" w:space="0"/>
            </w:tcBorders>
            <w:vAlign w:val="center"/>
          </w:tcPr>
          <w:p w14:paraId="5AA7CD74">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项目名称</w:t>
            </w:r>
          </w:p>
        </w:tc>
        <w:tc>
          <w:tcPr>
            <w:tcW w:w="4019" w:type="pct"/>
            <w:tcBorders>
              <w:top w:val="single" w:color="000000" w:sz="4" w:space="0"/>
              <w:left w:val="single" w:color="000000" w:sz="4" w:space="0"/>
              <w:bottom w:val="single" w:color="000000" w:sz="4" w:space="0"/>
              <w:right w:val="single" w:color="000000" w:sz="4" w:space="0"/>
            </w:tcBorders>
            <w:vAlign w:val="center"/>
          </w:tcPr>
          <w:p w14:paraId="68206199">
            <w:pPr>
              <w:snapToGrid w:val="0"/>
              <w:spacing w:line="400" w:lineRule="exact"/>
              <w:jc w:val="left"/>
              <w:rPr>
                <w:rFonts w:hint="eastAsia" w:ascii="宋体" w:eastAsia="宋体" w:cs="宋体"/>
                <w:sz w:val="24"/>
                <w:highlight w:val="none"/>
                <w:lang w:val="zh-CN"/>
              </w:rPr>
            </w:pPr>
            <w:r>
              <w:rPr>
                <w:rFonts w:hint="eastAsia" w:ascii="宋体" w:cs="宋体"/>
                <w:sz w:val="24"/>
                <w:highlight w:val="none"/>
                <w:lang w:val="zh-CN"/>
              </w:rPr>
              <w:t>巨化集团有限公司2025年度危险废物处置利用入围服务商项目</w:t>
            </w:r>
          </w:p>
        </w:tc>
      </w:tr>
      <w:tr w14:paraId="647E7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69A639A0">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4</w:t>
            </w:r>
          </w:p>
        </w:tc>
        <w:tc>
          <w:tcPr>
            <w:tcW w:w="686" w:type="pct"/>
            <w:tcBorders>
              <w:top w:val="single" w:color="000000" w:sz="4" w:space="0"/>
              <w:left w:val="single" w:color="000000" w:sz="4" w:space="0"/>
              <w:bottom w:val="single" w:color="000000" w:sz="4" w:space="0"/>
              <w:right w:val="single" w:color="000000" w:sz="4" w:space="0"/>
            </w:tcBorders>
            <w:vAlign w:val="center"/>
          </w:tcPr>
          <w:p w14:paraId="59137B07">
            <w:pPr>
              <w:snapToGrid w:val="0"/>
              <w:spacing w:line="400" w:lineRule="exact"/>
              <w:jc w:val="center"/>
              <w:rPr>
                <w:rFonts w:hint="eastAsia" w:ascii="宋体" w:eastAsia="宋体" w:cs="宋体"/>
                <w:sz w:val="24"/>
                <w:highlight w:val="none"/>
              </w:rPr>
            </w:pPr>
            <w:r>
              <w:rPr>
                <w:rStyle w:val="116"/>
                <w:rFonts w:hint="eastAsia" w:ascii="宋体" w:eastAsia="宋体" w:cs="宋体"/>
                <w:sz w:val="24"/>
                <w:highlight w:val="none"/>
              </w:rPr>
              <w:t>招标内容及数量</w:t>
            </w:r>
          </w:p>
        </w:tc>
        <w:tc>
          <w:tcPr>
            <w:tcW w:w="4019" w:type="pct"/>
            <w:tcBorders>
              <w:top w:val="single" w:color="000000" w:sz="4" w:space="0"/>
              <w:left w:val="single" w:color="000000" w:sz="4" w:space="0"/>
              <w:bottom w:val="single" w:color="000000" w:sz="4" w:space="0"/>
              <w:right w:val="single" w:color="000000" w:sz="4" w:space="0"/>
            </w:tcBorders>
            <w:vAlign w:val="center"/>
          </w:tcPr>
          <w:p w14:paraId="3419F946">
            <w:pPr>
              <w:snapToGrid w:val="0"/>
              <w:spacing w:line="400" w:lineRule="exact"/>
              <w:jc w:val="left"/>
              <w:rPr>
                <w:rStyle w:val="116"/>
                <w:rFonts w:ascii="宋体" w:eastAsia="宋体" w:cs="宋体"/>
                <w:sz w:val="24"/>
                <w:highlight w:val="none"/>
                <w:lang w:val="en-US" w:eastAsia="zh-CN"/>
              </w:rPr>
            </w:pPr>
            <w:r>
              <w:rPr>
                <w:rStyle w:val="116"/>
                <w:rFonts w:ascii="宋体" w:eastAsia="宋体" w:cs="宋体"/>
                <w:sz w:val="24"/>
                <w:highlight w:val="none"/>
                <w:lang w:val="en-US" w:eastAsia="zh-CN"/>
              </w:rPr>
              <w:t>1.招标内容：</w:t>
            </w:r>
            <w:r>
              <w:rPr>
                <w:rStyle w:val="116"/>
                <w:rFonts w:hint="eastAsia" w:ascii="宋体" w:eastAsia="宋体" w:cs="宋体"/>
                <w:sz w:val="24"/>
                <w:highlight w:val="none"/>
                <w:lang w:val="zh-CN"/>
              </w:rPr>
              <w:t>巨化集团有限公司2025年度危险废物处置利用入围服务商项目</w:t>
            </w:r>
            <w:r>
              <w:rPr>
                <w:rStyle w:val="116"/>
                <w:rFonts w:ascii="宋体" w:eastAsia="宋体" w:cs="宋体"/>
                <w:sz w:val="24"/>
                <w:highlight w:val="none"/>
                <w:lang w:val="en-US" w:eastAsia="zh-CN"/>
              </w:rPr>
              <w:t>。</w:t>
            </w:r>
          </w:p>
          <w:p w14:paraId="45FC0C3C">
            <w:pPr>
              <w:snapToGrid w:val="0"/>
              <w:spacing w:line="400" w:lineRule="exact"/>
              <w:jc w:val="left"/>
              <w:rPr>
                <w:rStyle w:val="116"/>
                <w:rFonts w:ascii="宋体" w:eastAsia="宋体" w:cs="宋体"/>
                <w:sz w:val="24"/>
                <w:highlight w:val="none"/>
                <w:lang w:val="en-US" w:eastAsia="zh-CN"/>
              </w:rPr>
            </w:pPr>
            <w:r>
              <w:rPr>
                <w:rStyle w:val="116"/>
                <w:rFonts w:ascii="宋体" w:eastAsia="宋体" w:cs="宋体"/>
                <w:sz w:val="24"/>
                <w:highlight w:val="none"/>
                <w:lang w:val="en-US" w:eastAsia="zh-CN"/>
              </w:rPr>
              <w:t>2.入围期限：</w:t>
            </w:r>
            <w:r>
              <w:rPr>
                <w:rStyle w:val="116"/>
                <w:rFonts w:hint="eastAsia" w:ascii="宋体" w:eastAsia="宋体" w:cs="宋体"/>
                <w:sz w:val="24"/>
                <w:highlight w:val="none"/>
                <w:lang w:val="en-US" w:eastAsia="zh-CN"/>
              </w:rPr>
              <w:t>1年</w:t>
            </w:r>
          </w:p>
          <w:p w14:paraId="268E7A9E">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lang w:val="en-US" w:eastAsia="zh-CN"/>
              </w:rPr>
              <w:t>3.</w:t>
            </w:r>
            <w:r>
              <w:rPr>
                <w:rStyle w:val="116"/>
                <w:rFonts w:hint="eastAsia" w:ascii="宋体" w:eastAsia="宋体" w:cs="宋体"/>
                <w:sz w:val="24"/>
                <w:highlight w:val="none"/>
              </w:rPr>
              <w:t>入围方式：①符合资格条件的投标单位20家（含）及以上时，按综合评分排名高低依次入围15家</w:t>
            </w:r>
            <w:r>
              <w:rPr>
                <w:rStyle w:val="116"/>
                <w:rFonts w:hint="eastAsia" w:ascii="宋体" w:eastAsia="宋体" w:cs="宋体"/>
                <w:sz w:val="24"/>
                <w:highlight w:val="none"/>
                <w:lang w:eastAsia="zh-CN"/>
              </w:rPr>
              <w:t>（</w:t>
            </w:r>
            <w:r>
              <w:rPr>
                <w:rStyle w:val="116"/>
                <w:rFonts w:hint="eastAsia" w:ascii="宋体" w:eastAsia="宋体" w:cs="宋体"/>
                <w:sz w:val="24"/>
                <w:highlight w:val="none"/>
              </w:rPr>
              <w:t>选取公司营业执照注册地在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范围内的</w:t>
            </w:r>
            <w:r>
              <w:rPr>
                <w:rStyle w:val="116"/>
                <w:rFonts w:hint="eastAsia" w:ascii="宋体" w:eastAsia="宋体" w:cs="宋体"/>
                <w:sz w:val="24"/>
                <w:highlight w:val="none"/>
                <w:lang w:val="en-US" w:eastAsia="zh-CN"/>
              </w:rPr>
              <w:t>13</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内入围单位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范围外的</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外入围单位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若在注册地在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外</w:t>
            </w:r>
            <w:r>
              <w:rPr>
                <w:rStyle w:val="116"/>
                <w:rFonts w:hint="eastAsia" w:ascii="宋体" w:eastAsia="宋体" w:cs="宋体"/>
                <w:sz w:val="24"/>
                <w:highlight w:val="none"/>
                <w:lang w:val="en-US" w:eastAsia="zh-CN"/>
              </w:rPr>
              <w:t>的</w:t>
            </w:r>
            <w:r>
              <w:rPr>
                <w:rStyle w:val="116"/>
                <w:rFonts w:hint="eastAsia" w:ascii="宋体" w:eastAsia="宋体" w:cs="宋体"/>
                <w:sz w:val="24"/>
                <w:highlight w:val="none"/>
              </w:rPr>
              <w:t>企业家数不足</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家的，空余名额调剂给注册地在</w:t>
            </w:r>
            <w:r>
              <w:rPr>
                <w:rStyle w:val="116"/>
                <w:rFonts w:hint="eastAsia" w:ascii="宋体" w:eastAsia="宋体" w:cs="宋体"/>
                <w:sz w:val="24"/>
                <w:highlight w:val="none"/>
                <w:lang w:val="en-US" w:eastAsia="zh-CN"/>
              </w:rPr>
              <w:t>浙江省内</w:t>
            </w:r>
            <w:r>
              <w:rPr>
                <w:rStyle w:val="116"/>
                <w:rFonts w:hint="eastAsia" w:ascii="宋体" w:eastAsia="宋体" w:cs="宋体"/>
                <w:sz w:val="24"/>
                <w:highlight w:val="none"/>
              </w:rPr>
              <w:t>企业入围名额</w:t>
            </w:r>
            <w:r>
              <w:rPr>
                <w:rStyle w:val="116"/>
                <w:rFonts w:hint="eastAsia" w:ascii="宋体" w:eastAsia="宋体" w:cs="宋体"/>
                <w:sz w:val="24"/>
                <w:highlight w:val="none"/>
                <w:lang w:eastAsia="zh-CN"/>
              </w:rPr>
              <w:t>）</w:t>
            </w:r>
            <w:r>
              <w:rPr>
                <w:rStyle w:val="116"/>
                <w:rFonts w:hint="eastAsia" w:ascii="宋体" w:eastAsia="宋体" w:cs="宋体"/>
                <w:sz w:val="24"/>
                <w:highlight w:val="none"/>
              </w:rPr>
              <w:t>；</w:t>
            </w:r>
          </w:p>
          <w:p w14:paraId="61A15924">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②符合资格条件的投标单位15（含）-19家时，按综合评分排名高低依次入围12家</w:t>
            </w:r>
            <w:r>
              <w:rPr>
                <w:rStyle w:val="116"/>
                <w:rFonts w:hint="eastAsia" w:ascii="宋体" w:eastAsia="宋体" w:cs="宋体"/>
                <w:sz w:val="24"/>
                <w:highlight w:val="none"/>
                <w:lang w:eastAsia="zh-CN"/>
              </w:rPr>
              <w:t>（</w:t>
            </w:r>
            <w:r>
              <w:rPr>
                <w:rStyle w:val="116"/>
                <w:rFonts w:hint="eastAsia" w:ascii="宋体" w:eastAsia="宋体" w:cs="宋体"/>
                <w:sz w:val="24"/>
                <w:highlight w:val="none"/>
              </w:rPr>
              <w:t>选取公司营业执照注册地在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范围内的</w:t>
            </w:r>
            <w:r>
              <w:rPr>
                <w:rStyle w:val="116"/>
                <w:rFonts w:hint="eastAsia" w:ascii="宋体" w:eastAsia="宋体" w:cs="宋体"/>
                <w:sz w:val="24"/>
                <w:highlight w:val="none"/>
                <w:lang w:val="en-US" w:eastAsia="zh-CN"/>
              </w:rPr>
              <w:t>10</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内入围单位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范围外的</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外入围单位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若在注册地在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外</w:t>
            </w:r>
            <w:r>
              <w:rPr>
                <w:rStyle w:val="116"/>
                <w:rFonts w:hint="eastAsia" w:ascii="宋体" w:eastAsia="宋体" w:cs="宋体"/>
                <w:sz w:val="24"/>
                <w:highlight w:val="none"/>
                <w:lang w:val="en-US" w:eastAsia="zh-CN"/>
              </w:rPr>
              <w:t>的</w:t>
            </w:r>
            <w:r>
              <w:rPr>
                <w:rStyle w:val="116"/>
                <w:rFonts w:hint="eastAsia" w:ascii="宋体" w:eastAsia="宋体" w:cs="宋体"/>
                <w:sz w:val="24"/>
                <w:highlight w:val="none"/>
              </w:rPr>
              <w:t>企业家数不足</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家的，空余名额调剂给注册地在</w:t>
            </w:r>
            <w:r>
              <w:rPr>
                <w:rStyle w:val="116"/>
                <w:rFonts w:hint="eastAsia" w:ascii="宋体" w:eastAsia="宋体" w:cs="宋体"/>
                <w:sz w:val="24"/>
                <w:highlight w:val="none"/>
                <w:lang w:val="en-US" w:eastAsia="zh-CN"/>
              </w:rPr>
              <w:t>浙江省内</w:t>
            </w:r>
            <w:r>
              <w:rPr>
                <w:rStyle w:val="116"/>
                <w:rFonts w:hint="eastAsia" w:ascii="宋体" w:eastAsia="宋体" w:cs="宋体"/>
                <w:sz w:val="24"/>
                <w:highlight w:val="none"/>
              </w:rPr>
              <w:t>企业入围名额</w:t>
            </w:r>
            <w:r>
              <w:rPr>
                <w:rStyle w:val="116"/>
                <w:rFonts w:hint="eastAsia" w:ascii="宋体" w:eastAsia="宋体" w:cs="宋体"/>
                <w:sz w:val="24"/>
                <w:highlight w:val="none"/>
                <w:lang w:eastAsia="zh-CN"/>
              </w:rPr>
              <w:t>）</w:t>
            </w:r>
            <w:r>
              <w:rPr>
                <w:rStyle w:val="116"/>
                <w:rFonts w:hint="eastAsia" w:ascii="宋体" w:eastAsia="宋体" w:cs="宋体"/>
                <w:sz w:val="24"/>
                <w:highlight w:val="none"/>
              </w:rPr>
              <w:t>；</w:t>
            </w:r>
          </w:p>
          <w:p w14:paraId="0CD5DEB5">
            <w:pPr>
              <w:snapToGrid w:val="0"/>
              <w:spacing w:line="400" w:lineRule="exact"/>
              <w:jc w:val="left"/>
              <w:rPr>
                <w:rFonts w:hint="eastAsia" w:ascii="宋体" w:eastAsia="宋体" w:cs="宋体"/>
                <w:sz w:val="24"/>
                <w:highlight w:val="none"/>
                <w:lang w:val="zh-CN"/>
              </w:rPr>
            </w:pPr>
            <w:r>
              <w:rPr>
                <w:rStyle w:val="116"/>
                <w:rFonts w:hint="eastAsia" w:ascii="宋体" w:eastAsia="宋体" w:cs="宋体"/>
                <w:sz w:val="24"/>
                <w:highlight w:val="none"/>
              </w:rPr>
              <w:t>③符合资格条件的投标单位15家以下时，按综合评分排名高低依次入围10家</w:t>
            </w:r>
            <w:r>
              <w:rPr>
                <w:rStyle w:val="116"/>
                <w:rFonts w:hint="eastAsia" w:ascii="宋体" w:eastAsia="宋体" w:cs="宋体"/>
                <w:sz w:val="24"/>
                <w:highlight w:val="none"/>
                <w:lang w:eastAsia="zh-CN"/>
              </w:rPr>
              <w:t>（</w:t>
            </w:r>
            <w:r>
              <w:rPr>
                <w:rStyle w:val="116"/>
                <w:rFonts w:hint="eastAsia" w:ascii="宋体" w:eastAsia="宋体" w:cs="宋体"/>
                <w:sz w:val="24"/>
                <w:highlight w:val="none"/>
              </w:rPr>
              <w:t>选取公司营业执照注册地在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范围内的</w:t>
            </w:r>
            <w:r>
              <w:rPr>
                <w:rStyle w:val="116"/>
                <w:rFonts w:hint="eastAsia" w:ascii="宋体" w:eastAsia="宋体" w:cs="宋体"/>
                <w:sz w:val="24"/>
                <w:highlight w:val="none"/>
                <w:lang w:val="en-US" w:eastAsia="zh-CN"/>
              </w:rPr>
              <w:t>8</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内入围单位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公司营业执照注册地在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范围外的</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家单位作为</w:t>
            </w:r>
            <w:r>
              <w:rPr>
                <w:rStyle w:val="116"/>
                <w:rFonts w:hint="eastAsia" w:ascii="宋体" w:eastAsia="宋体" w:cs="宋体"/>
                <w:sz w:val="24"/>
                <w:highlight w:val="none"/>
                <w:lang w:val="en-US" w:eastAsia="zh-CN"/>
              </w:rPr>
              <w:t>省</w:t>
            </w:r>
            <w:r>
              <w:rPr>
                <w:rStyle w:val="116"/>
                <w:rFonts w:hint="eastAsia" w:ascii="宋体" w:eastAsia="宋体" w:cs="宋体"/>
                <w:sz w:val="24"/>
                <w:highlight w:val="none"/>
              </w:rPr>
              <w:t>外入围单位</w:t>
            </w:r>
            <w:r>
              <w:rPr>
                <w:rStyle w:val="116"/>
                <w:rFonts w:hint="eastAsia" w:ascii="宋体" w:eastAsia="宋体" w:cs="宋体"/>
                <w:sz w:val="24"/>
                <w:highlight w:val="none"/>
                <w:lang w:eastAsia="zh-CN"/>
              </w:rPr>
              <w:t>，</w:t>
            </w:r>
            <w:r>
              <w:rPr>
                <w:rStyle w:val="116"/>
                <w:rFonts w:hint="eastAsia" w:ascii="宋体" w:eastAsia="宋体" w:cs="宋体"/>
                <w:sz w:val="24"/>
                <w:highlight w:val="none"/>
              </w:rPr>
              <w:t>若在注册地在</w:t>
            </w:r>
            <w:r>
              <w:rPr>
                <w:rStyle w:val="116"/>
                <w:rFonts w:hint="eastAsia" w:ascii="宋体" w:eastAsia="宋体" w:cs="宋体"/>
                <w:sz w:val="24"/>
                <w:highlight w:val="none"/>
                <w:lang w:val="en-US" w:eastAsia="zh-CN"/>
              </w:rPr>
              <w:t>浙江省</w:t>
            </w:r>
            <w:r>
              <w:rPr>
                <w:rStyle w:val="116"/>
                <w:rFonts w:hint="eastAsia" w:ascii="宋体" w:eastAsia="宋体" w:cs="宋体"/>
                <w:sz w:val="24"/>
                <w:highlight w:val="none"/>
              </w:rPr>
              <w:t>外</w:t>
            </w:r>
            <w:r>
              <w:rPr>
                <w:rStyle w:val="116"/>
                <w:rFonts w:hint="eastAsia" w:ascii="宋体" w:eastAsia="宋体" w:cs="宋体"/>
                <w:sz w:val="24"/>
                <w:highlight w:val="none"/>
                <w:lang w:val="en-US" w:eastAsia="zh-CN"/>
              </w:rPr>
              <w:t>的</w:t>
            </w:r>
            <w:r>
              <w:rPr>
                <w:rStyle w:val="116"/>
                <w:rFonts w:hint="eastAsia" w:ascii="宋体" w:eastAsia="宋体" w:cs="宋体"/>
                <w:sz w:val="24"/>
                <w:highlight w:val="none"/>
              </w:rPr>
              <w:t>企业家数不足</w:t>
            </w:r>
            <w:r>
              <w:rPr>
                <w:rStyle w:val="116"/>
                <w:rFonts w:hint="eastAsia" w:ascii="宋体" w:eastAsia="宋体" w:cs="宋体"/>
                <w:sz w:val="24"/>
                <w:highlight w:val="none"/>
                <w:lang w:val="en-US" w:eastAsia="zh-CN"/>
              </w:rPr>
              <w:t>2</w:t>
            </w:r>
            <w:r>
              <w:rPr>
                <w:rStyle w:val="116"/>
                <w:rFonts w:hint="eastAsia" w:ascii="宋体" w:eastAsia="宋体" w:cs="宋体"/>
                <w:sz w:val="24"/>
                <w:highlight w:val="none"/>
              </w:rPr>
              <w:t>家的，空余名额调剂给注册地在</w:t>
            </w:r>
            <w:r>
              <w:rPr>
                <w:rStyle w:val="116"/>
                <w:rFonts w:hint="eastAsia" w:ascii="宋体" w:eastAsia="宋体" w:cs="宋体"/>
                <w:sz w:val="24"/>
                <w:highlight w:val="none"/>
                <w:lang w:val="en-US" w:eastAsia="zh-CN"/>
              </w:rPr>
              <w:t>浙江省内</w:t>
            </w:r>
            <w:r>
              <w:rPr>
                <w:rStyle w:val="116"/>
                <w:rFonts w:hint="eastAsia" w:ascii="宋体" w:eastAsia="宋体" w:cs="宋体"/>
                <w:sz w:val="24"/>
                <w:highlight w:val="none"/>
              </w:rPr>
              <w:t>企业入围名额</w:t>
            </w:r>
            <w:r>
              <w:rPr>
                <w:rStyle w:val="116"/>
                <w:rFonts w:hint="eastAsia" w:ascii="宋体" w:eastAsia="宋体" w:cs="宋体"/>
                <w:sz w:val="24"/>
                <w:highlight w:val="none"/>
                <w:lang w:eastAsia="zh-CN"/>
              </w:rPr>
              <w:t>）</w:t>
            </w:r>
            <w:r>
              <w:rPr>
                <w:rStyle w:val="116"/>
                <w:rFonts w:hint="eastAsia" w:ascii="宋体" w:eastAsia="宋体" w:cs="宋体"/>
                <w:sz w:val="24"/>
                <w:highlight w:val="none"/>
              </w:rPr>
              <w:t>。服务期内，由招标人</w:t>
            </w:r>
            <w:r>
              <w:rPr>
                <w:rStyle w:val="116"/>
                <w:rFonts w:hint="eastAsia" w:ascii="宋体" w:eastAsia="宋体" w:cs="宋体"/>
                <w:sz w:val="24"/>
                <w:highlight w:val="none"/>
                <w:lang w:val="en-US" w:eastAsia="zh-CN"/>
              </w:rPr>
              <w:t>及下属二级单位</w:t>
            </w:r>
            <w:r>
              <w:rPr>
                <w:rStyle w:val="116"/>
                <w:rFonts w:hint="eastAsia" w:ascii="宋体" w:eastAsia="宋体" w:cs="宋体"/>
                <w:sz w:val="24"/>
                <w:highlight w:val="none"/>
              </w:rPr>
              <w:t>在服务期内考核合格的单位内发起单个</w:t>
            </w:r>
            <w:r>
              <w:rPr>
                <w:rStyle w:val="116"/>
                <w:rFonts w:hint="eastAsia" w:ascii="宋体" w:eastAsia="宋体" w:cs="宋体"/>
                <w:sz w:val="24"/>
                <w:highlight w:val="none"/>
                <w:lang w:val="zh-CN"/>
              </w:rPr>
              <w:t>危险废物处置利用</w:t>
            </w:r>
            <w:r>
              <w:rPr>
                <w:rStyle w:val="116"/>
                <w:rFonts w:hint="eastAsia" w:ascii="宋体" w:eastAsia="宋体" w:cs="宋体"/>
                <w:sz w:val="24"/>
                <w:highlight w:val="none"/>
              </w:rPr>
              <w:t>项目单位选择。</w:t>
            </w:r>
          </w:p>
        </w:tc>
      </w:tr>
      <w:tr w14:paraId="27B75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63E6E3C9">
            <w:pPr>
              <w:snapToGrid w:val="0"/>
              <w:spacing w:line="400" w:lineRule="exact"/>
              <w:jc w:val="center"/>
              <w:rPr>
                <w:rFonts w:hint="eastAsia" w:ascii="宋体" w:eastAsia="宋体" w:cs="宋体"/>
                <w:sz w:val="24"/>
                <w:highlight w:val="none"/>
                <w:lang w:val="en-US" w:eastAsia="zh-CN"/>
              </w:rPr>
            </w:pPr>
            <w:r>
              <w:rPr>
                <w:rFonts w:hint="eastAsia" w:ascii="宋体" w:cs="宋体"/>
                <w:sz w:val="24"/>
                <w:highlight w:val="none"/>
                <w:lang w:val="en-US" w:eastAsia="zh-CN"/>
              </w:rPr>
              <w:t>5</w:t>
            </w:r>
          </w:p>
        </w:tc>
        <w:tc>
          <w:tcPr>
            <w:tcW w:w="686" w:type="pct"/>
            <w:tcBorders>
              <w:top w:val="single" w:color="000000" w:sz="4" w:space="0"/>
              <w:left w:val="single" w:color="000000" w:sz="4" w:space="0"/>
              <w:bottom w:val="single" w:color="000000" w:sz="4" w:space="0"/>
              <w:right w:val="single" w:color="000000" w:sz="4" w:space="0"/>
            </w:tcBorders>
            <w:vAlign w:val="center"/>
          </w:tcPr>
          <w:p w14:paraId="6CDA784E">
            <w:pPr>
              <w:snapToGrid w:val="0"/>
              <w:spacing w:line="400" w:lineRule="exact"/>
              <w:jc w:val="center"/>
              <w:rPr>
                <w:rStyle w:val="116"/>
                <w:rFonts w:hint="eastAsia" w:ascii="宋体" w:eastAsia="宋体" w:cs="宋体"/>
                <w:sz w:val="24"/>
                <w:highlight w:val="none"/>
              </w:rPr>
            </w:pPr>
            <w:r>
              <w:rPr>
                <w:rStyle w:val="116"/>
                <w:rFonts w:hint="eastAsia" w:ascii="宋体" w:eastAsia="宋体" w:cs="宋体"/>
                <w:sz w:val="24"/>
                <w:highlight w:val="none"/>
              </w:rPr>
              <w:t>报价要求</w:t>
            </w:r>
          </w:p>
        </w:tc>
        <w:tc>
          <w:tcPr>
            <w:tcW w:w="4019" w:type="pct"/>
            <w:tcBorders>
              <w:top w:val="single" w:color="000000" w:sz="4" w:space="0"/>
              <w:left w:val="single" w:color="000000" w:sz="4" w:space="0"/>
              <w:bottom w:val="single" w:color="000000" w:sz="4" w:space="0"/>
              <w:right w:val="single" w:color="000000" w:sz="4" w:space="0"/>
            </w:tcBorders>
            <w:vAlign w:val="center"/>
          </w:tcPr>
          <w:p w14:paraId="2A06236F">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1</w:t>
            </w:r>
            <w:r>
              <w:rPr>
                <w:rStyle w:val="116"/>
                <w:rFonts w:hint="eastAsia" w:ascii="宋体" w:eastAsia="宋体" w:cs="宋体"/>
                <w:sz w:val="24"/>
                <w:highlight w:val="none"/>
                <w:lang w:val="en-US" w:eastAsia="zh-CN"/>
              </w:rPr>
              <w:t>.因系统格式要求，</w:t>
            </w:r>
            <w:r>
              <w:rPr>
                <w:rStyle w:val="116"/>
                <w:rFonts w:hint="eastAsia" w:ascii="宋体" w:eastAsia="宋体" w:cs="宋体"/>
                <w:sz w:val="24"/>
                <w:highlight w:val="none"/>
              </w:rPr>
              <w:t>本次招标</w:t>
            </w:r>
            <w:r>
              <w:rPr>
                <w:rStyle w:val="116"/>
                <w:rFonts w:hint="eastAsia" w:ascii="宋体" w:eastAsia="宋体" w:cs="宋体"/>
                <w:sz w:val="24"/>
                <w:highlight w:val="none"/>
                <w:lang w:val="en-US" w:eastAsia="zh-CN"/>
              </w:rPr>
              <w:t>“巨化数字化招采平台”的投标界面中“投标单价”和“投标总价”和投标文件中的</w:t>
            </w:r>
            <w:r>
              <w:rPr>
                <w:rStyle w:val="116"/>
                <w:rFonts w:hint="eastAsia" w:ascii="宋体" w:eastAsia="宋体" w:cs="宋体"/>
                <w:sz w:val="24"/>
                <w:highlight w:val="none"/>
                <w:lang w:eastAsia="zh-CN"/>
              </w:rPr>
              <w:t>“开标一览表”</w:t>
            </w:r>
            <w:r>
              <w:rPr>
                <w:rStyle w:val="116"/>
                <w:rFonts w:hint="eastAsia" w:ascii="宋体" w:eastAsia="宋体" w:cs="宋体"/>
                <w:sz w:val="24"/>
                <w:highlight w:val="none"/>
                <w:lang w:val="en-US" w:eastAsia="zh-CN"/>
              </w:rPr>
              <w:t>可填写</w:t>
            </w:r>
            <w:r>
              <w:rPr>
                <w:rFonts w:hint="eastAsia" w:ascii="宋体" w:cs="宋体"/>
                <w:b w:val="0"/>
                <w:bCs/>
                <w:color w:val="auto"/>
                <w:sz w:val="24"/>
                <w:lang w:val="en-US" w:eastAsia="zh-CN"/>
              </w:rPr>
              <w:t>47520000</w:t>
            </w:r>
            <w:r>
              <w:rPr>
                <w:rStyle w:val="116"/>
                <w:rFonts w:hint="eastAsia" w:ascii="宋体" w:eastAsia="宋体" w:cs="宋体"/>
                <w:sz w:val="24"/>
                <w:highlight w:val="none"/>
                <w:lang w:val="en-US" w:eastAsia="zh-CN"/>
              </w:rPr>
              <w:t>元，但金额不作评价。</w:t>
            </w:r>
          </w:p>
          <w:p w14:paraId="756C9935">
            <w:pPr>
              <w:snapToGrid w:val="0"/>
              <w:spacing w:line="400" w:lineRule="exact"/>
              <w:jc w:val="left"/>
              <w:rPr>
                <w:rStyle w:val="116"/>
                <w:rFonts w:hint="eastAsia" w:ascii="宋体" w:eastAsia="宋体" w:cs="宋体"/>
                <w:sz w:val="24"/>
                <w:highlight w:val="none"/>
                <w:lang w:val="zh-CN"/>
              </w:rPr>
            </w:pPr>
            <w:r>
              <w:rPr>
                <w:rStyle w:val="116"/>
                <w:rFonts w:hint="eastAsia" w:ascii="宋体" w:eastAsia="宋体" w:cs="宋体"/>
                <w:sz w:val="24"/>
                <w:highlight w:val="none"/>
              </w:rPr>
              <w:t>2</w:t>
            </w:r>
            <w:r>
              <w:rPr>
                <w:rStyle w:val="116"/>
                <w:rFonts w:hint="eastAsia" w:ascii="宋体" w:eastAsia="宋体" w:cs="宋体"/>
                <w:sz w:val="24"/>
                <w:highlight w:val="none"/>
                <w:lang w:val="en-US" w:eastAsia="zh-CN"/>
              </w:rPr>
              <w:t>.</w:t>
            </w:r>
            <w:r>
              <w:rPr>
                <w:rStyle w:val="116"/>
                <w:rFonts w:hint="eastAsia" w:ascii="宋体" w:eastAsia="宋体" w:cs="宋体"/>
                <w:sz w:val="24"/>
                <w:highlight w:val="none"/>
              </w:rPr>
              <w:t>不论投标结果如何，投标人均应自行承担所有与投标有关的全部费用。</w:t>
            </w:r>
          </w:p>
        </w:tc>
      </w:tr>
      <w:tr w14:paraId="202B1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7F93F004">
            <w:pPr>
              <w:snapToGrid w:val="0"/>
              <w:spacing w:line="400" w:lineRule="exact"/>
              <w:jc w:val="center"/>
              <w:rPr>
                <w:rFonts w:hint="eastAsia" w:ascii="宋体" w:eastAsia="宋体" w:cs="宋体"/>
                <w:sz w:val="24"/>
                <w:highlight w:val="none"/>
                <w:lang w:eastAsia="zh-CN"/>
              </w:rPr>
            </w:pPr>
            <w:r>
              <w:rPr>
                <w:rFonts w:hint="eastAsia" w:ascii="宋体" w:cs="宋体"/>
                <w:sz w:val="24"/>
                <w:highlight w:val="none"/>
                <w:lang w:val="en-US" w:eastAsia="zh-CN"/>
              </w:rPr>
              <w:t>6</w:t>
            </w:r>
          </w:p>
        </w:tc>
        <w:tc>
          <w:tcPr>
            <w:tcW w:w="686" w:type="pct"/>
            <w:tcBorders>
              <w:top w:val="single" w:color="000000" w:sz="4" w:space="0"/>
              <w:left w:val="single" w:color="000000" w:sz="4" w:space="0"/>
              <w:bottom w:val="single" w:color="000000" w:sz="4" w:space="0"/>
              <w:right w:val="single" w:color="000000" w:sz="4" w:space="0"/>
            </w:tcBorders>
            <w:vAlign w:val="center"/>
          </w:tcPr>
          <w:p w14:paraId="14DB95A3">
            <w:pPr>
              <w:snapToGrid w:val="0"/>
              <w:spacing w:line="400" w:lineRule="exact"/>
              <w:jc w:val="center"/>
              <w:rPr>
                <w:rStyle w:val="116"/>
                <w:rFonts w:hint="eastAsia" w:ascii="宋体" w:eastAsia="宋体" w:cs="宋体"/>
                <w:sz w:val="24"/>
                <w:highlight w:val="none"/>
              </w:rPr>
            </w:pPr>
            <w:r>
              <w:rPr>
                <w:rStyle w:val="116"/>
                <w:rFonts w:hint="eastAsia" w:ascii="宋体" w:eastAsia="宋体" w:cs="宋体"/>
                <w:sz w:val="24"/>
                <w:highlight w:val="none"/>
                <w:lang w:val="en-US" w:eastAsia="zh-CN"/>
              </w:rPr>
              <w:t>估算金额</w:t>
            </w:r>
          </w:p>
        </w:tc>
        <w:tc>
          <w:tcPr>
            <w:tcW w:w="4019" w:type="pct"/>
            <w:tcBorders>
              <w:top w:val="single" w:color="000000" w:sz="4" w:space="0"/>
              <w:left w:val="single" w:color="000000" w:sz="4" w:space="0"/>
              <w:bottom w:val="single" w:color="000000" w:sz="4" w:space="0"/>
              <w:right w:val="single" w:color="000000" w:sz="4" w:space="0"/>
            </w:tcBorders>
            <w:vAlign w:val="center"/>
          </w:tcPr>
          <w:p w14:paraId="5703CE08">
            <w:pPr>
              <w:snapToGrid w:val="0"/>
              <w:spacing w:line="400" w:lineRule="exact"/>
              <w:jc w:val="left"/>
              <w:rPr>
                <w:rStyle w:val="116"/>
                <w:rFonts w:hint="eastAsia" w:ascii="宋体" w:eastAsia="宋体" w:cs="宋体"/>
                <w:sz w:val="24"/>
                <w:highlight w:val="none"/>
              </w:rPr>
            </w:pPr>
            <w:r>
              <w:rPr>
                <w:rStyle w:val="116"/>
                <w:rFonts w:hint="eastAsia" w:ascii="宋体" w:eastAsia="宋体" w:cs="宋体"/>
                <w:sz w:val="24"/>
                <w:highlight w:val="none"/>
              </w:rPr>
              <w:t>根据</w:t>
            </w:r>
            <w:r>
              <w:rPr>
                <w:rStyle w:val="116"/>
                <w:rFonts w:hint="eastAsia" w:ascii="宋体" w:cs="宋体"/>
                <w:sz w:val="24"/>
                <w:highlight w:val="none"/>
                <w:lang w:val="en-US"/>
              </w:rPr>
              <w:t>往</w:t>
            </w:r>
            <w:r>
              <w:rPr>
                <w:rStyle w:val="116"/>
                <w:rFonts w:hint="eastAsia" w:ascii="宋体" w:eastAsia="宋体" w:cs="宋体"/>
                <w:sz w:val="24"/>
                <w:highlight w:val="none"/>
              </w:rPr>
              <w:t>年项目情况，本次</w:t>
            </w:r>
            <w:r>
              <w:rPr>
                <w:rStyle w:val="116"/>
                <w:rFonts w:hint="eastAsia" w:ascii="宋体" w:eastAsia="宋体" w:cs="宋体"/>
                <w:sz w:val="24"/>
                <w:highlight w:val="none"/>
                <w:lang w:val="zh-CN"/>
              </w:rPr>
              <w:t>巨化集团有限公司2025年度危险废物处置利用入围服务商项目</w:t>
            </w:r>
            <w:r>
              <w:rPr>
                <w:rStyle w:val="116"/>
                <w:rFonts w:hint="eastAsia" w:ascii="宋体" w:cs="宋体"/>
                <w:sz w:val="24"/>
                <w:highlight w:val="none"/>
                <w:lang w:val="en-US"/>
              </w:rPr>
              <w:t>1</w:t>
            </w:r>
            <w:r>
              <w:rPr>
                <w:rStyle w:val="116"/>
                <w:rFonts w:hint="eastAsia" w:ascii="宋体" w:eastAsia="宋体" w:cs="宋体"/>
                <w:sz w:val="24"/>
                <w:highlight w:val="none"/>
              </w:rPr>
              <w:t>年估算约</w:t>
            </w:r>
            <w:r>
              <w:rPr>
                <w:rFonts w:hint="eastAsia" w:ascii="宋体" w:cs="宋体"/>
                <w:b w:val="0"/>
                <w:bCs/>
                <w:color w:val="auto"/>
                <w:sz w:val="24"/>
                <w:lang w:val="en-US" w:eastAsia="zh-CN"/>
              </w:rPr>
              <w:t>48000000</w:t>
            </w:r>
            <w:r>
              <w:rPr>
                <w:rStyle w:val="116"/>
                <w:rFonts w:hint="eastAsia" w:ascii="宋体" w:eastAsia="宋体" w:cs="宋体"/>
                <w:sz w:val="24"/>
                <w:highlight w:val="none"/>
                <w:lang w:val="en-US" w:eastAsia="zh-CN"/>
              </w:rPr>
              <w:t>元</w:t>
            </w:r>
            <w:r>
              <w:rPr>
                <w:rStyle w:val="116"/>
                <w:rFonts w:hint="eastAsia" w:ascii="宋体" w:eastAsia="宋体" w:cs="宋体"/>
                <w:sz w:val="24"/>
                <w:highlight w:val="none"/>
              </w:rPr>
              <w:t>。估算金额仅供投标人参考，最终以实际发生金额为准。</w:t>
            </w:r>
          </w:p>
        </w:tc>
      </w:tr>
      <w:tr w14:paraId="5ADF2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329CE2BC">
            <w:pPr>
              <w:snapToGrid w:val="0"/>
              <w:spacing w:line="400" w:lineRule="exact"/>
              <w:jc w:val="center"/>
              <w:rPr>
                <w:rFonts w:hint="eastAsia" w:ascii="宋体" w:eastAsia="宋体" w:cs="宋体"/>
                <w:sz w:val="24"/>
                <w:highlight w:val="none"/>
                <w:lang w:eastAsia="zh-CN"/>
              </w:rPr>
            </w:pPr>
            <w:r>
              <w:rPr>
                <w:rFonts w:hint="eastAsia" w:ascii="宋体" w:cs="宋体"/>
                <w:sz w:val="24"/>
                <w:highlight w:val="none"/>
                <w:lang w:val="en-US" w:eastAsia="zh-CN"/>
              </w:rPr>
              <w:t>7</w:t>
            </w:r>
          </w:p>
        </w:tc>
        <w:tc>
          <w:tcPr>
            <w:tcW w:w="686" w:type="pct"/>
            <w:tcBorders>
              <w:top w:val="single" w:color="000000" w:sz="4" w:space="0"/>
              <w:left w:val="single" w:color="000000" w:sz="4" w:space="0"/>
              <w:bottom w:val="single" w:color="000000" w:sz="4" w:space="0"/>
              <w:right w:val="single" w:color="000000" w:sz="4" w:space="0"/>
            </w:tcBorders>
            <w:vAlign w:val="center"/>
          </w:tcPr>
          <w:p w14:paraId="1648D11B">
            <w:pPr>
              <w:snapToGrid w:val="0"/>
              <w:spacing w:line="400" w:lineRule="exact"/>
              <w:jc w:val="center"/>
              <w:rPr>
                <w:rStyle w:val="116"/>
                <w:rFonts w:hint="eastAsia" w:ascii="宋体" w:eastAsia="宋体" w:cs="宋体"/>
                <w:sz w:val="24"/>
                <w:highlight w:val="none"/>
              </w:rPr>
            </w:pPr>
            <w:r>
              <w:rPr>
                <w:rFonts w:hint="eastAsia" w:ascii="宋体" w:eastAsia="宋体" w:cs="宋体"/>
                <w:sz w:val="24"/>
                <w:highlight w:val="none"/>
                <w:lang w:val="zh-CN"/>
              </w:rPr>
              <w:t>投标响应文件有效期</w:t>
            </w:r>
          </w:p>
        </w:tc>
        <w:tc>
          <w:tcPr>
            <w:tcW w:w="4019" w:type="pct"/>
            <w:tcBorders>
              <w:top w:val="single" w:color="000000" w:sz="4" w:space="0"/>
              <w:left w:val="single" w:color="000000" w:sz="4" w:space="0"/>
              <w:bottom w:val="single" w:color="000000" w:sz="4" w:space="0"/>
              <w:right w:val="single" w:color="000000" w:sz="4" w:space="0"/>
            </w:tcBorders>
            <w:vAlign w:val="center"/>
          </w:tcPr>
          <w:p w14:paraId="24F20C06">
            <w:pPr>
              <w:snapToGrid w:val="0"/>
              <w:spacing w:line="400" w:lineRule="exact"/>
              <w:jc w:val="left"/>
              <w:rPr>
                <w:rStyle w:val="116"/>
                <w:rFonts w:hint="eastAsia" w:ascii="宋体" w:eastAsia="宋体" w:cs="宋体"/>
                <w:sz w:val="24"/>
                <w:highlight w:val="none"/>
              </w:rPr>
            </w:pPr>
            <w:r>
              <w:rPr>
                <w:rFonts w:hint="eastAsia" w:ascii="宋体" w:eastAsia="宋体" w:cs="宋体"/>
                <w:sz w:val="24"/>
                <w:highlight w:val="none"/>
              </w:rPr>
              <w:t>90天</w:t>
            </w:r>
            <w:r>
              <w:rPr>
                <w:rFonts w:hint="eastAsia" w:ascii="宋体" w:eastAsia="宋体" w:cs="宋体"/>
                <w:sz w:val="24"/>
                <w:highlight w:val="none"/>
                <w:lang w:val="zh-CN"/>
              </w:rPr>
              <w:t>，该有效期内不得撤销或修改投标文件。</w:t>
            </w:r>
          </w:p>
        </w:tc>
      </w:tr>
      <w:tr w14:paraId="2C4FB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22E06795">
            <w:pPr>
              <w:snapToGrid w:val="0"/>
              <w:spacing w:line="400" w:lineRule="exact"/>
              <w:jc w:val="center"/>
              <w:rPr>
                <w:rFonts w:hint="eastAsia" w:ascii="宋体" w:eastAsia="宋体" w:cs="宋体"/>
                <w:sz w:val="24"/>
                <w:highlight w:val="none"/>
                <w:lang w:eastAsia="zh-CN"/>
              </w:rPr>
            </w:pPr>
            <w:r>
              <w:rPr>
                <w:rFonts w:hint="eastAsia" w:ascii="宋体" w:cs="宋体"/>
                <w:sz w:val="24"/>
                <w:highlight w:val="none"/>
                <w:lang w:val="en-US" w:eastAsia="zh-CN"/>
              </w:rPr>
              <w:t>8</w:t>
            </w:r>
          </w:p>
        </w:tc>
        <w:tc>
          <w:tcPr>
            <w:tcW w:w="686" w:type="pct"/>
            <w:tcBorders>
              <w:top w:val="single" w:color="000000" w:sz="4" w:space="0"/>
              <w:left w:val="single" w:color="000000" w:sz="4" w:space="0"/>
              <w:bottom w:val="single" w:color="000000" w:sz="4" w:space="0"/>
              <w:right w:val="single" w:color="000000" w:sz="4" w:space="0"/>
            </w:tcBorders>
            <w:vAlign w:val="center"/>
          </w:tcPr>
          <w:p w14:paraId="6C464744">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质量要求</w:t>
            </w:r>
          </w:p>
        </w:tc>
        <w:tc>
          <w:tcPr>
            <w:tcW w:w="4019" w:type="pct"/>
            <w:tcBorders>
              <w:top w:val="single" w:color="000000" w:sz="4" w:space="0"/>
              <w:left w:val="single" w:color="000000" w:sz="4" w:space="0"/>
              <w:bottom w:val="single" w:color="000000" w:sz="4" w:space="0"/>
              <w:right w:val="single" w:color="000000" w:sz="4" w:space="0"/>
            </w:tcBorders>
            <w:vAlign w:val="center"/>
          </w:tcPr>
          <w:p w14:paraId="468B4593">
            <w:pPr>
              <w:snapToGrid w:val="0"/>
              <w:spacing w:line="400" w:lineRule="exact"/>
              <w:jc w:val="left"/>
              <w:rPr>
                <w:rFonts w:hint="eastAsia" w:ascii="宋体" w:eastAsia="宋体" w:cs="宋体"/>
                <w:sz w:val="24"/>
                <w:highlight w:val="none"/>
              </w:rPr>
            </w:pPr>
            <w:r>
              <w:rPr>
                <w:rFonts w:hint="eastAsia" w:ascii="宋体" w:eastAsia="宋体" w:cs="宋体"/>
                <w:sz w:val="24"/>
                <w:highlight w:val="none"/>
              </w:rPr>
              <w:t>质量标准：</w:t>
            </w:r>
            <w:r>
              <w:rPr>
                <w:rFonts w:hint="eastAsia" w:ascii="宋体" w:eastAsia="宋体" w:cs="宋体"/>
                <w:sz w:val="24"/>
                <w:highlight w:val="none"/>
                <w:lang w:val="zh-CN"/>
              </w:rPr>
              <w:t>按现行国家或专业部门标准、规范</w:t>
            </w:r>
            <w:r>
              <w:rPr>
                <w:rFonts w:hint="eastAsia" w:ascii="宋体" w:eastAsia="宋体" w:cs="宋体"/>
                <w:sz w:val="24"/>
                <w:highlight w:val="none"/>
              </w:rPr>
              <w:t>。</w:t>
            </w:r>
          </w:p>
        </w:tc>
      </w:tr>
      <w:tr w14:paraId="7E68A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173B5A3E">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8</w:t>
            </w:r>
          </w:p>
        </w:tc>
        <w:tc>
          <w:tcPr>
            <w:tcW w:w="686" w:type="pct"/>
            <w:tcBorders>
              <w:top w:val="single" w:color="000000" w:sz="4" w:space="0"/>
              <w:left w:val="single" w:color="000000" w:sz="4" w:space="0"/>
              <w:bottom w:val="single" w:color="000000" w:sz="4" w:space="0"/>
              <w:right w:val="single" w:color="000000" w:sz="4" w:space="0"/>
            </w:tcBorders>
            <w:vAlign w:val="center"/>
          </w:tcPr>
          <w:p w14:paraId="044D85B7">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是否接受联合体投标</w:t>
            </w:r>
          </w:p>
        </w:tc>
        <w:tc>
          <w:tcPr>
            <w:tcW w:w="4019" w:type="pct"/>
            <w:tcBorders>
              <w:top w:val="single" w:color="000000" w:sz="4" w:space="0"/>
              <w:left w:val="single" w:color="000000" w:sz="4" w:space="0"/>
              <w:bottom w:val="single" w:color="000000" w:sz="4" w:space="0"/>
              <w:right w:val="single" w:color="000000" w:sz="4" w:space="0"/>
            </w:tcBorders>
            <w:vAlign w:val="center"/>
          </w:tcPr>
          <w:p w14:paraId="6040CC78">
            <w:pPr>
              <w:snapToGrid w:val="0"/>
              <w:spacing w:line="400" w:lineRule="exact"/>
              <w:jc w:val="left"/>
              <w:rPr>
                <w:rFonts w:hint="eastAsia" w:ascii="宋体" w:eastAsia="宋体" w:cs="宋体"/>
                <w:sz w:val="24"/>
                <w:highlight w:val="none"/>
              </w:rPr>
            </w:pPr>
            <w:r>
              <w:rPr>
                <w:rFonts w:hint="eastAsia" w:ascii="宋体" w:eastAsia="宋体" w:cs="宋体"/>
                <w:sz w:val="24"/>
                <w:highlight w:val="none"/>
              </w:rPr>
              <w:t>不接受</w:t>
            </w:r>
          </w:p>
        </w:tc>
      </w:tr>
      <w:tr w14:paraId="0C9F8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502565EA">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9</w:t>
            </w:r>
          </w:p>
        </w:tc>
        <w:tc>
          <w:tcPr>
            <w:tcW w:w="686" w:type="pct"/>
            <w:tcBorders>
              <w:top w:val="single" w:color="000000" w:sz="4" w:space="0"/>
              <w:left w:val="single" w:color="000000" w:sz="4" w:space="0"/>
              <w:bottom w:val="single" w:color="000000" w:sz="4" w:space="0"/>
              <w:right w:val="single" w:color="000000" w:sz="4" w:space="0"/>
            </w:tcBorders>
            <w:vAlign w:val="center"/>
          </w:tcPr>
          <w:p w14:paraId="602B2258">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踏勘现场</w:t>
            </w:r>
          </w:p>
        </w:tc>
        <w:tc>
          <w:tcPr>
            <w:tcW w:w="4019" w:type="pct"/>
            <w:tcBorders>
              <w:top w:val="single" w:color="000000" w:sz="4" w:space="0"/>
              <w:left w:val="single" w:color="000000" w:sz="4" w:space="0"/>
              <w:bottom w:val="single" w:color="000000" w:sz="4" w:space="0"/>
              <w:right w:val="single" w:color="000000" w:sz="4" w:space="0"/>
            </w:tcBorders>
            <w:vAlign w:val="center"/>
          </w:tcPr>
          <w:p w14:paraId="774C28F0">
            <w:pPr>
              <w:snapToGrid w:val="0"/>
              <w:spacing w:line="400" w:lineRule="exact"/>
              <w:jc w:val="left"/>
              <w:rPr>
                <w:rFonts w:hint="eastAsia" w:ascii="宋体" w:eastAsia="宋体" w:cs="宋体"/>
                <w:sz w:val="24"/>
                <w:highlight w:val="none"/>
              </w:rPr>
            </w:pPr>
            <w:r>
              <w:rPr>
                <w:rFonts w:hint="eastAsia" w:ascii="宋体" w:eastAsia="宋体" w:cs="宋体"/>
                <w:sz w:val="24"/>
                <w:highlight w:val="none"/>
              </w:rPr>
              <w:t>根据需要自行踏勘</w:t>
            </w:r>
          </w:p>
        </w:tc>
      </w:tr>
      <w:tr w14:paraId="1EE61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63382952">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11</w:t>
            </w:r>
          </w:p>
        </w:tc>
        <w:tc>
          <w:tcPr>
            <w:tcW w:w="686" w:type="pct"/>
            <w:tcBorders>
              <w:top w:val="single" w:color="000000" w:sz="4" w:space="0"/>
              <w:left w:val="single" w:color="000000" w:sz="4" w:space="0"/>
              <w:bottom w:val="single" w:color="000000" w:sz="4" w:space="0"/>
              <w:right w:val="single" w:color="000000" w:sz="4" w:space="0"/>
            </w:tcBorders>
            <w:vAlign w:val="center"/>
          </w:tcPr>
          <w:p w14:paraId="2A87CF2C">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招标文件澄清</w:t>
            </w:r>
          </w:p>
        </w:tc>
        <w:tc>
          <w:tcPr>
            <w:tcW w:w="4019" w:type="pct"/>
            <w:tcBorders>
              <w:top w:val="single" w:color="000000" w:sz="4" w:space="0"/>
              <w:left w:val="single" w:color="000000" w:sz="4" w:space="0"/>
              <w:bottom w:val="single" w:color="000000" w:sz="4" w:space="0"/>
              <w:right w:val="single" w:color="000000" w:sz="4" w:space="0"/>
            </w:tcBorders>
            <w:vAlign w:val="center"/>
          </w:tcPr>
          <w:p w14:paraId="152B3799">
            <w:pPr>
              <w:snapToGrid w:val="0"/>
              <w:spacing w:line="400" w:lineRule="exact"/>
              <w:jc w:val="left"/>
              <w:rPr>
                <w:rFonts w:hint="eastAsia" w:ascii="宋体" w:eastAsia="宋体" w:cs="宋体"/>
                <w:sz w:val="24"/>
                <w:highlight w:val="none"/>
              </w:rPr>
            </w:pPr>
            <w:r>
              <w:rPr>
                <w:rFonts w:hint="eastAsia" w:ascii="宋体" w:eastAsia="宋体" w:cs="宋体"/>
                <w:sz w:val="24"/>
                <w:highlight w:val="none"/>
              </w:rPr>
              <w:t>投标人如认为招标文件表述不清晰、存在前后矛盾等内容的，应当在投标截止日</w:t>
            </w:r>
            <w:r>
              <w:rPr>
                <w:rFonts w:hint="eastAsia" w:ascii="宋体" w:eastAsia="宋体" w:cs="宋体"/>
                <w:sz w:val="24"/>
                <w:highlight w:val="none"/>
                <w:lang w:val="en-US" w:eastAsia="zh-CN"/>
              </w:rPr>
              <w:t>3</w:t>
            </w:r>
            <w:r>
              <w:rPr>
                <w:rFonts w:hint="eastAsia" w:ascii="宋体" w:eastAsia="宋体" w:cs="宋体"/>
                <w:sz w:val="24"/>
                <w:highlight w:val="none"/>
              </w:rPr>
              <w:t>天前以书面形式要求招标人作出书面澄清。</w:t>
            </w:r>
          </w:p>
        </w:tc>
      </w:tr>
      <w:tr w14:paraId="34927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5A0CE64C">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12</w:t>
            </w:r>
          </w:p>
        </w:tc>
        <w:tc>
          <w:tcPr>
            <w:tcW w:w="686" w:type="pct"/>
            <w:tcBorders>
              <w:top w:val="single" w:color="000000" w:sz="4" w:space="0"/>
              <w:left w:val="single" w:color="000000" w:sz="4" w:space="0"/>
              <w:bottom w:val="single" w:color="000000" w:sz="4" w:space="0"/>
              <w:right w:val="single" w:color="000000" w:sz="4" w:space="0"/>
            </w:tcBorders>
            <w:vAlign w:val="center"/>
          </w:tcPr>
          <w:p w14:paraId="53C43E8A">
            <w:pPr>
              <w:snapToGrid w:val="0"/>
              <w:spacing w:line="400" w:lineRule="exact"/>
              <w:rPr>
                <w:rFonts w:hint="eastAsia" w:ascii="宋体" w:eastAsia="宋体" w:cs="宋体"/>
                <w:sz w:val="24"/>
                <w:highlight w:val="none"/>
              </w:rPr>
            </w:pPr>
            <w:r>
              <w:rPr>
                <w:rFonts w:hint="eastAsia" w:ascii="宋体" w:eastAsia="宋体" w:cs="宋体"/>
                <w:sz w:val="24"/>
                <w:highlight w:val="none"/>
              </w:rPr>
              <w:t>投标有效期</w:t>
            </w:r>
          </w:p>
        </w:tc>
        <w:tc>
          <w:tcPr>
            <w:tcW w:w="4019" w:type="pct"/>
            <w:tcBorders>
              <w:top w:val="single" w:color="000000" w:sz="4" w:space="0"/>
              <w:left w:val="single" w:color="000000" w:sz="4" w:space="0"/>
              <w:bottom w:val="single" w:color="000000" w:sz="4" w:space="0"/>
              <w:right w:val="single" w:color="000000" w:sz="4" w:space="0"/>
            </w:tcBorders>
            <w:vAlign w:val="center"/>
          </w:tcPr>
          <w:p w14:paraId="235BA73C">
            <w:pPr>
              <w:snapToGrid w:val="0"/>
              <w:spacing w:line="400" w:lineRule="exact"/>
              <w:ind w:firstLine="480" w:firstLineChars="200"/>
              <w:jc w:val="left"/>
              <w:rPr>
                <w:rFonts w:hint="eastAsia" w:ascii="宋体" w:eastAsia="宋体" w:cs="宋体"/>
                <w:sz w:val="24"/>
                <w:highlight w:val="none"/>
              </w:rPr>
            </w:pPr>
            <w:r>
              <w:rPr>
                <w:rFonts w:hint="eastAsia" w:ascii="宋体" w:eastAsia="宋体" w:cs="宋体"/>
                <w:sz w:val="24"/>
                <w:highlight w:val="none"/>
              </w:rPr>
              <w:t>90 天</w:t>
            </w:r>
          </w:p>
        </w:tc>
      </w:tr>
      <w:tr w14:paraId="1572A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4A29BBD3">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13</w:t>
            </w:r>
          </w:p>
        </w:tc>
        <w:tc>
          <w:tcPr>
            <w:tcW w:w="686" w:type="pct"/>
            <w:tcBorders>
              <w:top w:val="single" w:color="000000" w:sz="4" w:space="0"/>
              <w:left w:val="single" w:color="000000" w:sz="4" w:space="0"/>
              <w:bottom w:val="single" w:color="000000" w:sz="4" w:space="0"/>
              <w:right w:val="single" w:color="000000" w:sz="4" w:space="0"/>
            </w:tcBorders>
            <w:vAlign w:val="center"/>
          </w:tcPr>
          <w:p w14:paraId="7BC1468C">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投标保证金</w:t>
            </w:r>
          </w:p>
        </w:tc>
        <w:tc>
          <w:tcPr>
            <w:tcW w:w="4019" w:type="pct"/>
            <w:tcBorders>
              <w:top w:val="single" w:color="000000" w:sz="4" w:space="0"/>
              <w:left w:val="single" w:color="000000" w:sz="4" w:space="0"/>
              <w:bottom w:val="single" w:color="000000" w:sz="4" w:space="0"/>
              <w:right w:val="single" w:color="000000" w:sz="4" w:space="0"/>
            </w:tcBorders>
            <w:vAlign w:val="center"/>
          </w:tcPr>
          <w:p w14:paraId="165E1F96">
            <w:pPr>
              <w:snapToGrid w:val="0"/>
              <w:spacing w:line="400" w:lineRule="exact"/>
              <w:jc w:val="left"/>
              <w:rPr>
                <w:rFonts w:hint="eastAsia" w:ascii="宋体" w:eastAsia="宋体" w:cs="宋体"/>
                <w:sz w:val="24"/>
                <w:highlight w:val="none"/>
              </w:rPr>
            </w:pPr>
            <w:r>
              <w:rPr>
                <w:rFonts w:hint="eastAsia" w:ascii="宋体" w:eastAsia="宋体" w:cs="宋体"/>
                <w:sz w:val="24"/>
                <w:highlight w:val="none"/>
              </w:rPr>
              <w:t>详见“第一章 招标公告”</w:t>
            </w:r>
          </w:p>
        </w:tc>
      </w:tr>
      <w:tr w14:paraId="73695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512207D7">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14</w:t>
            </w:r>
          </w:p>
        </w:tc>
        <w:tc>
          <w:tcPr>
            <w:tcW w:w="686" w:type="pct"/>
            <w:tcBorders>
              <w:top w:val="single" w:color="000000" w:sz="4" w:space="0"/>
              <w:left w:val="single" w:color="000000" w:sz="4" w:space="0"/>
              <w:bottom w:val="single" w:color="000000" w:sz="4" w:space="0"/>
              <w:right w:val="single" w:color="000000" w:sz="4" w:space="0"/>
            </w:tcBorders>
            <w:vAlign w:val="center"/>
          </w:tcPr>
          <w:p w14:paraId="0F7506B5">
            <w:pPr>
              <w:snapToGrid w:val="0"/>
              <w:spacing w:line="360" w:lineRule="exact"/>
              <w:jc w:val="center"/>
              <w:rPr>
                <w:rFonts w:hint="eastAsia" w:ascii="宋体" w:eastAsia="宋体" w:cs="宋体"/>
                <w:sz w:val="24"/>
                <w:highlight w:val="none"/>
              </w:rPr>
            </w:pPr>
            <w:r>
              <w:rPr>
                <w:rFonts w:ascii="宋体"/>
                <w:sz w:val="24"/>
              </w:rPr>
              <w:t>投标保证金退还</w:t>
            </w:r>
          </w:p>
        </w:tc>
        <w:tc>
          <w:tcPr>
            <w:tcW w:w="4019" w:type="pct"/>
            <w:tcBorders>
              <w:top w:val="single" w:color="000000" w:sz="4" w:space="0"/>
              <w:left w:val="single" w:color="000000" w:sz="4" w:space="0"/>
              <w:bottom w:val="single" w:color="000000" w:sz="4" w:space="0"/>
              <w:right w:val="single" w:color="000000" w:sz="4" w:space="0"/>
            </w:tcBorders>
            <w:vAlign w:val="center"/>
          </w:tcPr>
          <w:p w14:paraId="5393028F">
            <w:pPr>
              <w:snapToGrid w:val="0"/>
              <w:spacing w:line="360" w:lineRule="exact"/>
              <w:rPr>
                <w:rFonts w:ascii="宋体"/>
                <w:sz w:val="24"/>
              </w:rPr>
            </w:pPr>
            <w:r>
              <w:rPr>
                <w:rFonts w:ascii="宋体"/>
                <w:sz w:val="24"/>
              </w:rPr>
              <w:t>除招标文件规定不予退还保证金的情形外， 招标人与中标人签订合同后5个工作日内，向未中标的投标人和中标人退还投标保证金。</w:t>
            </w:r>
          </w:p>
          <w:p w14:paraId="2366B21C">
            <w:pPr>
              <w:snapToGrid w:val="0"/>
              <w:spacing w:line="360" w:lineRule="exact"/>
              <w:rPr>
                <w:rFonts w:ascii="宋体"/>
                <w:sz w:val="24"/>
              </w:rPr>
            </w:pPr>
            <w:r>
              <w:rPr>
                <w:rFonts w:ascii="宋体"/>
                <w:sz w:val="24"/>
              </w:rPr>
              <w:t>投标人应当提供</w:t>
            </w:r>
            <w:r>
              <w:rPr>
                <w:rFonts w:hint="eastAsia" w:ascii="宋体"/>
                <w:sz w:val="24"/>
              </w:rPr>
              <w:t>“</w:t>
            </w:r>
            <w:r>
              <w:rPr>
                <w:rFonts w:ascii="宋体"/>
                <w:sz w:val="24"/>
              </w:rPr>
              <w:t>退还投标保证金申请书</w:t>
            </w:r>
            <w:r>
              <w:rPr>
                <w:rFonts w:hint="eastAsia" w:ascii="宋体"/>
                <w:sz w:val="24"/>
              </w:rPr>
              <w:t>”</w:t>
            </w:r>
            <w:r>
              <w:rPr>
                <w:rFonts w:ascii="宋体"/>
                <w:sz w:val="24"/>
              </w:rPr>
              <w:t>（格式见附件）。招标代理机构凭</w:t>
            </w:r>
            <w:r>
              <w:rPr>
                <w:rFonts w:hint="eastAsia" w:ascii="宋体"/>
                <w:sz w:val="24"/>
              </w:rPr>
              <w:t>“</w:t>
            </w:r>
            <w:r>
              <w:rPr>
                <w:rFonts w:ascii="宋体"/>
                <w:sz w:val="24"/>
              </w:rPr>
              <w:t>退还投标保证金申请书</w:t>
            </w:r>
            <w:r>
              <w:rPr>
                <w:rFonts w:hint="eastAsia" w:ascii="宋体"/>
                <w:sz w:val="24"/>
              </w:rPr>
              <w:t>”</w:t>
            </w:r>
            <w:r>
              <w:rPr>
                <w:rFonts w:ascii="宋体"/>
                <w:sz w:val="24"/>
              </w:rPr>
              <w:t>或投标人另行开具的退还投标保证金收据以电汇或转账方式予以退还。</w:t>
            </w:r>
          </w:p>
          <w:p w14:paraId="2C19AECF">
            <w:pPr>
              <w:snapToGrid w:val="0"/>
              <w:spacing w:line="360" w:lineRule="exact"/>
              <w:rPr>
                <w:rFonts w:hint="eastAsia" w:ascii="宋体" w:eastAsia="宋体" w:cs="宋体"/>
                <w:sz w:val="24"/>
                <w:highlight w:val="none"/>
              </w:rPr>
            </w:pPr>
            <w:r>
              <w:rPr>
                <w:rFonts w:hint="eastAsia" w:ascii="宋体"/>
                <w:sz w:val="24"/>
              </w:rPr>
              <w:t>“</w:t>
            </w:r>
            <w:r>
              <w:rPr>
                <w:rFonts w:ascii="宋体"/>
                <w:sz w:val="24"/>
              </w:rPr>
              <w:t>退还投标保证金申请书</w:t>
            </w:r>
            <w:r>
              <w:rPr>
                <w:rFonts w:hint="eastAsia" w:ascii="宋体"/>
                <w:sz w:val="24"/>
              </w:rPr>
              <w:t>”扫描件可以发送招标代理或邮寄。</w:t>
            </w:r>
          </w:p>
        </w:tc>
      </w:tr>
      <w:tr w14:paraId="751B8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1F739C5A">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15</w:t>
            </w:r>
          </w:p>
        </w:tc>
        <w:tc>
          <w:tcPr>
            <w:tcW w:w="686" w:type="pct"/>
            <w:tcBorders>
              <w:top w:val="single" w:color="000000" w:sz="4" w:space="0"/>
              <w:left w:val="single" w:color="000000" w:sz="4" w:space="0"/>
              <w:bottom w:val="single" w:color="000000" w:sz="4" w:space="0"/>
              <w:right w:val="single" w:color="000000" w:sz="4" w:space="0"/>
            </w:tcBorders>
            <w:vAlign w:val="center"/>
          </w:tcPr>
          <w:p w14:paraId="7F6279FE">
            <w:pPr>
              <w:snapToGrid w:val="0"/>
              <w:spacing w:line="360" w:lineRule="exact"/>
              <w:rPr>
                <w:rFonts w:hint="eastAsia" w:ascii="宋体" w:eastAsia="宋体" w:cs="宋体"/>
                <w:sz w:val="24"/>
                <w:highlight w:val="none"/>
              </w:rPr>
            </w:pPr>
            <w:r>
              <w:rPr>
                <w:rFonts w:hint="eastAsia" w:ascii="宋体" w:eastAsia="宋体"/>
                <w:sz w:val="24"/>
              </w:rPr>
              <w:t>投标文件的签章</w:t>
            </w:r>
          </w:p>
        </w:tc>
        <w:tc>
          <w:tcPr>
            <w:tcW w:w="4019" w:type="pct"/>
            <w:tcBorders>
              <w:top w:val="single" w:color="000000" w:sz="4" w:space="0"/>
              <w:left w:val="single" w:color="000000" w:sz="4" w:space="0"/>
              <w:bottom w:val="single" w:color="000000" w:sz="4" w:space="0"/>
              <w:right w:val="single" w:color="000000" w:sz="4" w:space="0"/>
            </w:tcBorders>
            <w:vAlign w:val="center"/>
          </w:tcPr>
          <w:p w14:paraId="7DD25327">
            <w:pPr>
              <w:snapToGrid w:val="0"/>
              <w:spacing w:line="360" w:lineRule="exact"/>
              <w:rPr>
                <w:rFonts w:hint="eastAsia" w:ascii="宋体" w:eastAsia="宋体" w:cs="宋体"/>
                <w:sz w:val="24"/>
                <w:highlight w:val="none"/>
              </w:rPr>
            </w:pPr>
            <w:r>
              <w:rPr>
                <w:rFonts w:hint="eastAsia" w:ascii="宋体" w:eastAsia="宋体"/>
                <w:sz w:val="24"/>
              </w:rPr>
              <w:t>投标文件的签章采用经证实合法有效的投标单位的电子签章。</w:t>
            </w:r>
          </w:p>
        </w:tc>
      </w:tr>
      <w:tr w14:paraId="221EE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7B39079F">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16</w:t>
            </w:r>
          </w:p>
        </w:tc>
        <w:tc>
          <w:tcPr>
            <w:tcW w:w="686" w:type="pct"/>
            <w:tcBorders>
              <w:top w:val="single" w:color="000000" w:sz="4" w:space="0"/>
              <w:left w:val="single" w:color="000000" w:sz="4" w:space="0"/>
              <w:bottom w:val="single" w:color="000000" w:sz="4" w:space="0"/>
              <w:right w:val="single" w:color="000000" w:sz="4" w:space="0"/>
            </w:tcBorders>
            <w:vAlign w:val="center"/>
          </w:tcPr>
          <w:p w14:paraId="5DAE80A9">
            <w:pPr>
              <w:spacing w:line="360" w:lineRule="exact"/>
              <w:rPr>
                <w:rFonts w:hint="eastAsia" w:ascii="宋体" w:eastAsia="宋体" w:cs="宋体"/>
                <w:sz w:val="24"/>
                <w:highlight w:val="none"/>
              </w:rPr>
            </w:pPr>
            <w:r>
              <w:rPr>
                <w:rFonts w:hint="eastAsia" w:ascii="宋体" w:cs="宋体"/>
                <w:sz w:val="24"/>
              </w:rPr>
              <w:t>*</w:t>
            </w:r>
            <w:r>
              <w:rPr>
                <w:rFonts w:hint="eastAsia"/>
                <w:b/>
                <w:bCs/>
                <w:sz w:val="24"/>
              </w:rPr>
              <w:t>投标文件的组成</w:t>
            </w:r>
          </w:p>
        </w:tc>
        <w:tc>
          <w:tcPr>
            <w:tcW w:w="4019" w:type="pct"/>
            <w:tcBorders>
              <w:top w:val="single" w:color="000000" w:sz="4" w:space="0"/>
              <w:left w:val="single" w:color="000000" w:sz="4" w:space="0"/>
              <w:bottom w:val="single" w:color="000000" w:sz="4" w:space="0"/>
              <w:right w:val="single" w:color="000000" w:sz="4" w:space="0"/>
            </w:tcBorders>
            <w:vAlign w:val="center"/>
          </w:tcPr>
          <w:p w14:paraId="12139AAD">
            <w:pPr>
              <w:snapToGrid w:val="0"/>
              <w:spacing w:line="400" w:lineRule="exact"/>
              <w:rPr>
                <w:rFonts w:hint="eastAsia" w:ascii="宋体" w:cs="宋体"/>
                <w:b/>
                <w:bCs/>
                <w:sz w:val="24"/>
                <w:lang w:val="zh-CN"/>
              </w:rPr>
            </w:pPr>
            <w:r>
              <w:rPr>
                <w:rStyle w:val="116"/>
                <w:rFonts w:hint="eastAsia" w:ascii="宋体" w:cs="宋体"/>
                <w:sz w:val="24"/>
              </w:rPr>
              <w:t>投标文件由</w:t>
            </w:r>
            <w:r>
              <w:rPr>
                <w:rFonts w:hint="eastAsia" w:ascii="宋体" w:cs="宋体"/>
                <w:sz w:val="24"/>
              </w:rPr>
              <w:t>技术资信文件（</w:t>
            </w:r>
            <w:r>
              <w:rPr>
                <w:rFonts w:hint="eastAsia"/>
                <w:sz w:val="24"/>
              </w:rPr>
              <w:t>符合性审查文件</w:t>
            </w:r>
            <w:r>
              <w:rPr>
                <w:rFonts w:hint="eastAsia" w:ascii="宋体" w:cs="宋体"/>
                <w:sz w:val="24"/>
                <w:lang w:val="zh-CN"/>
              </w:rPr>
              <w:t>、技术</w:t>
            </w:r>
            <w:r>
              <w:rPr>
                <w:rFonts w:hint="eastAsia" w:ascii="宋体" w:cs="宋体"/>
                <w:sz w:val="24"/>
              </w:rPr>
              <w:t>文件）、商务经济文件</w:t>
            </w:r>
            <w:r>
              <w:rPr>
                <w:rStyle w:val="116"/>
                <w:rFonts w:hint="eastAsia" w:ascii="宋体" w:cs="宋体"/>
                <w:sz w:val="24"/>
              </w:rPr>
              <w:t>两部分</w:t>
            </w:r>
            <w:r>
              <w:rPr>
                <w:rFonts w:hint="eastAsia" w:ascii="宋体" w:cs="宋体"/>
                <w:sz w:val="24"/>
                <w:lang w:val="zh-CN"/>
              </w:rPr>
              <w:t>组成</w:t>
            </w:r>
            <w:r>
              <w:rPr>
                <w:rFonts w:hint="eastAsia" w:ascii="宋体" w:cs="宋体"/>
                <w:b/>
                <w:bCs/>
                <w:sz w:val="24"/>
                <w:lang w:val="zh-CN"/>
              </w:rPr>
              <w:t>。</w:t>
            </w:r>
          </w:p>
          <w:p w14:paraId="45635130">
            <w:pPr>
              <w:snapToGrid w:val="0"/>
              <w:spacing w:line="360" w:lineRule="exact"/>
              <w:rPr>
                <w:rFonts w:hint="eastAsia" w:ascii="宋体" w:eastAsia="宋体" w:cs="宋体"/>
                <w:sz w:val="24"/>
                <w:highlight w:val="none"/>
              </w:rPr>
            </w:pPr>
            <w:r>
              <w:rPr>
                <w:rFonts w:hint="eastAsia" w:ascii="宋体" w:cs="宋体"/>
                <w:b/>
                <w:bCs/>
                <w:sz w:val="24"/>
                <w:lang w:val="zh-CN"/>
              </w:rPr>
              <w:t>其中符合性审查文件、技术文件</w:t>
            </w:r>
            <w:r>
              <w:rPr>
                <w:rFonts w:hint="eastAsia" w:ascii="宋体" w:cs="宋体"/>
                <w:b/>
                <w:bCs/>
                <w:sz w:val="24"/>
              </w:rPr>
              <w:t>合并</w:t>
            </w:r>
            <w:r>
              <w:rPr>
                <w:rFonts w:hint="eastAsia" w:ascii="宋体" w:cs="宋体"/>
                <w:b/>
                <w:bCs/>
                <w:sz w:val="24"/>
                <w:lang w:val="zh-CN"/>
              </w:rPr>
              <w:t>上传至技术资信客户端；商务经济文件上传至商务经济客户端；</w:t>
            </w:r>
          </w:p>
        </w:tc>
      </w:tr>
      <w:tr w14:paraId="544A3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2A6741A0">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17</w:t>
            </w:r>
          </w:p>
        </w:tc>
        <w:tc>
          <w:tcPr>
            <w:tcW w:w="686" w:type="pct"/>
            <w:tcBorders>
              <w:top w:val="single" w:color="000000" w:sz="4" w:space="0"/>
              <w:left w:val="single" w:color="000000" w:sz="4" w:space="0"/>
              <w:bottom w:val="single" w:color="000000" w:sz="4" w:space="0"/>
              <w:right w:val="single" w:color="000000" w:sz="4" w:space="0"/>
            </w:tcBorders>
            <w:vAlign w:val="center"/>
          </w:tcPr>
          <w:p w14:paraId="47DD04E4">
            <w:pPr>
              <w:spacing w:line="360" w:lineRule="exact"/>
              <w:rPr>
                <w:rFonts w:hint="eastAsia" w:ascii="宋体" w:eastAsia="宋体"/>
                <w:sz w:val="24"/>
                <w:lang w:val="zh-CN"/>
              </w:rPr>
            </w:pPr>
            <w:r>
              <w:rPr>
                <w:rFonts w:hint="eastAsia" w:ascii="宋体" w:eastAsia="宋体"/>
                <w:sz w:val="24"/>
                <w:lang w:val="zh-CN"/>
              </w:rPr>
              <w:t>投标文件编制</w:t>
            </w:r>
          </w:p>
        </w:tc>
        <w:tc>
          <w:tcPr>
            <w:tcW w:w="4019" w:type="pct"/>
            <w:tcBorders>
              <w:top w:val="single" w:color="000000" w:sz="4" w:space="0"/>
              <w:left w:val="single" w:color="000000" w:sz="4" w:space="0"/>
              <w:bottom w:val="single" w:color="000000" w:sz="4" w:space="0"/>
              <w:right w:val="single" w:color="000000" w:sz="4" w:space="0"/>
            </w:tcBorders>
            <w:vAlign w:val="center"/>
          </w:tcPr>
          <w:p w14:paraId="3F004E68">
            <w:pPr>
              <w:spacing w:line="360" w:lineRule="exact"/>
              <w:rPr>
                <w:rFonts w:hint="eastAsia" w:ascii="宋体" w:eastAsia="宋体"/>
                <w:sz w:val="24"/>
                <w:lang w:val="zh-CN"/>
              </w:rPr>
            </w:pPr>
            <w:r>
              <w:rPr>
                <w:rFonts w:ascii="宋体"/>
                <w:sz w:val="24"/>
                <w:szCs w:val="24"/>
                <w:lang w:val="zh-CN"/>
              </w:rPr>
              <w:t>投标文件应按照“投标文件格式”进行编写</w:t>
            </w:r>
          </w:p>
        </w:tc>
      </w:tr>
      <w:tr w14:paraId="59660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77D50793">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18</w:t>
            </w:r>
          </w:p>
        </w:tc>
        <w:tc>
          <w:tcPr>
            <w:tcW w:w="686" w:type="pct"/>
            <w:tcBorders>
              <w:top w:val="single" w:color="000000" w:sz="4" w:space="0"/>
              <w:left w:val="single" w:color="000000" w:sz="4" w:space="0"/>
              <w:bottom w:val="single" w:color="000000" w:sz="4" w:space="0"/>
              <w:right w:val="single" w:color="000000" w:sz="4" w:space="0"/>
            </w:tcBorders>
            <w:vAlign w:val="center"/>
          </w:tcPr>
          <w:p w14:paraId="50EA58CA">
            <w:pPr>
              <w:spacing w:line="360" w:lineRule="exact"/>
              <w:jc w:val="center"/>
              <w:rPr>
                <w:rFonts w:hint="eastAsia" w:ascii="宋体" w:eastAsia="宋体" w:cs="宋体"/>
                <w:sz w:val="24"/>
                <w:highlight w:val="none"/>
              </w:rPr>
            </w:pPr>
            <w:r>
              <w:rPr>
                <w:rFonts w:hint="eastAsia" w:ascii="宋体"/>
                <w:sz w:val="24"/>
                <w:lang w:val="zh-CN"/>
              </w:rPr>
              <w:t>投标文件的包装、密封和递交</w:t>
            </w:r>
          </w:p>
        </w:tc>
        <w:tc>
          <w:tcPr>
            <w:tcW w:w="4019" w:type="pct"/>
            <w:tcBorders>
              <w:top w:val="single" w:color="000000" w:sz="4" w:space="0"/>
              <w:left w:val="single" w:color="000000" w:sz="4" w:space="0"/>
              <w:bottom w:val="single" w:color="000000" w:sz="4" w:space="0"/>
              <w:right w:val="single" w:color="000000" w:sz="4" w:space="0"/>
            </w:tcBorders>
            <w:vAlign w:val="center"/>
          </w:tcPr>
          <w:p w14:paraId="1A02E20B">
            <w:pPr>
              <w:spacing w:line="360" w:lineRule="exact"/>
              <w:rPr>
                <w:rFonts w:ascii="宋体"/>
                <w:sz w:val="24"/>
                <w:lang w:val="zh-CN"/>
              </w:rPr>
            </w:pPr>
            <w:r>
              <w:rPr>
                <w:rFonts w:ascii="宋体"/>
                <w:sz w:val="24"/>
                <w:lang w:val="zh-CN"/>
              </w:rPr>
              <w:t>1.</w:t>
            </w:r>
            <w:r>
              <w:rPr>
                <w:rFonts w:hint="eastAsia" w:ascii="宋体"/>
                <w:sz w:val="24"/>
                <w:lang w:val="zh-CN"/>
              </w:rPr>
              <w:t>“电子加密投标文件”的递交：在线上传递交。</w:t>
            </w:r>
          </w:p>
          <w:p w14:paraId="0D523321">
            <w:pPr>
              <w:spacing w:line="360" w:lineRule="exact"/>
              <w:rPr>
                <w:rFonts w:ascii="宋体"/>
                <w:sz w:val="24"/>
                <w:lang w:val="zh-CN"/>
              </w:rPr>
            </w:pPr>
            <w:r>
              <w:rPr>
                <w:rFonts w:hint="eastAsia" w:ascii="宋体"/>
                <w:sz w:val="24"/>
                <w:lang w:val="zh-CN"/>
              </w:rPr>
              <w:t>（1）投标人应在投标截止时间前将“电子加密投标文件”成功上传递交至“化工云商网（巨化数字化招采平台）”，否则投标无效。</w:t>
            </w:r>
          </w:p>
          <w:p w14:paraId="653A2385">
            <w:pPr>
              <w:spacing w:line="360" w:lineRule="exact"/>
              <w:rPr>
                <w:rFonts w:ascii="宋体"/>
                <w:sz w:val="24"/>
                <w:lang w:val="zh-CN"/>
              </w:rPr>
            </w:pPr>
            <w:r>
              <w:rPr>
                <w:rFonts w:ascii="宋体"/>
                <w:sz w:val="24"/>
              </w:rPr>
              <w:t>2.</w:t>
            </w:r>
            <w:r>
              <w:rPr>
                <w:rFonts w:hint="eastAsia" w:ascii="宋体"/>
                <w:sz w:val="24"/>
                <w:lang w:val="zh-CN"/>
              </w:rPr>
              <w:t>“纸质投标文件”：</w:t>
            </w:r>
          </w:p>
          <w:p w14:paraId="2C652421">
            <w:pPr>
              <w:spacing w:line="360" w:lineRule="exact"/>
              <w:rPr>
                <w:rFonts w:hint="eastAsia" w:ascii="宋体" w:eastAsia="宋体" w:cs="宋体"/>
                <w:sz w:val="24"/>
                <w:highlight w:val="none"/>
              </w:rPr>
            </w:pPr>
            <w:r>
              <w:rPr>
                <w:rFonts w:hint="eastAsia" w:ascii="宋体"/>
                <w:sz w:val="24"/>
                <w:lang w:val="zh-CN"/>
              </w:rPr>
              <w:t>投标时无需提供“纸质投标文件”，中标人须在中标候选人公示发出后5个工作日内提供3套纸质投标文件，纸质投标文件须打印有签章的电子投标文件，纸质投标文件可以将技术资信文件、商务经济文件</w:t>
            </w:r>
            <w:r>
              <w:rPr>
                <w:rFonts w:hint="eastAsia" w:ascii="宋体"/>
                <w:sz w:val="24"/>
              </w:rPr>
              <w:t>两</w:t>
            </w:r>
            <w:r>
              <w:rPr>
                <w:rFonts w:hint="eastAsia" w:ascii="宋体"/>
                <w:sz w:val="24"/>
                <w:lang w:val="zh-CN"/>
              </w:rPr>
              <w:t>部分装订成册直接邮寄，邮寄或送达地址：浙江省衢州市柯城区衢化街道文苑村31幢210室，收件人：王靓，13059721359。</w:t>
            </w:r>
          </w:p>
        </w:tc>
      </w:tr>
      <w:tr w14:paraId="46F691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486B4979">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19</w:t>
            </w:r>
          </w:p>
        </w:tc>
        <w:tc>
          <w:tcPr>
            <w:tcW w:w="686" w:type="pct"/>
            <w:tcBorders>
              <w:top w:val="single" w:color="000000" w:sz="4" w:space="0"/>
              <w:left w:val="single" w:color="000000" w:sz="4" w:space="0"/>
              <w:bottom w:val="single" w:color="000000" w:sz="4" w:space="0"/>
              <w:right w:val="single" w:color="000000" w:sz="4" w:space="0"/>
            </w:tcBorders>
            <w:vAlign w:val="center"/>
          </w:tcPr>
          <w:p w14:paraId="78A37315">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开标时间和地址</w:t>
            </w:r>
          </w:p>
        </w:tc>
        <w:tc>
          <w:tcPr>
            <w:tcW w:w="4019" w:type="pct"/>
            <w:tcBorders>
              <w:top w:val="single" w:color="000000" w:sz="4" w:space="0"/>
              <w:left w:val="single" w:color="000000" w:sz="4" w:space="0"/>
              <w:bottom w:val="single" w:color="000000" w:sz="4" w:space="0"/>
              <w:right w:val="single" w:color="000000" w:sz="4" w:space="0"/>
            </w:tcBorders>
            <w:vAlign w:val="center"/>
          </w:tcPr>
          <w:p w14:paraId="3134E45E">
            <w:pPr>
              <w:snapToGrid w:val="0"/>
              <w:spacing w:line="400" w:lineRule="exact"/>
              <w:jc w:val="both"/>
              <w:rPr>
                <w:rFonts w:hint="eastAsia" w:ascii="宋体" w:eastAsia="宋体" w:cs="宋体"/>
                <w:sz w:val="24"/>
                <w:highlight w:val="none"/>
                <w:lang w:val="en-US" w:eastAsia="zh-CN"/>
              </w:rPr>
            </w:pPr>
            <w:r>
              <w:rPr>
                <w:rFonts w:hint="eastAsia" w:ascii="宋体" w:eastAsia="宋体" w:cs="宋体"/>
                <w:sz w:val="24"/>
                <w:highlight w:val="none"/>
                <w:lang w:val="en-US" w:eastAsia="zh-CN"/>
              </w:rPr>
              <w:t>开标时间：</w:t>
            </w:r>
            <w:r>
              <w:rPr>
                <w:rFonts w:hint="eastAsia" w:ascii="宋体" w:eastAsia="宋体" w:cs="宋体"/>
                <w:sz w:val="24"/>
                <w:highlight w:val="none"/>
                <w:lang w:val="zh-CN" w:eastAsia="zh-CN"/>
              </w:rPr>
              <w:t>“第一章 招标公告”</w:t>
            </w:r>
          </w:p>
          <w:p w14:paraId="7185D61E">
            <w:pPr>
              <w:snapToGrid w:val="0"/>
              <w:spacing w:line="400" w:lineRule="exact"/>
              <w:jc w:val="both"/>
              <w:rPr>
                <w:rFonts w:hint="eastAsia" w:ascii="宋体" w:eastAsia="宋体" w:cs="宋体"/>
                <w:sz w:val="24"/>
                <w:highlight w:val="none"/>
                <w:lang w:val="en-US" w:eastAsia="zh-CN"/>
              </w:rPr>
            </w:pPr>
            <w:r>
              <w:rPr>
                <w:rFonts w:hint="eastAsia" w:ascii="宋体" w:eastAsia="宋体" w:cs="宋体"/>
                <w:sz w:val="24"/>
                <w:highlight w:val="none"/>
                <w:lang w:val="en-US" w:eastAsia="zh-CN"/>
              </w:rPr>
              <w:t>开标地址：化工云商网（巨化数字化招采平台）https://juhua.ccccnet.com/。投标人在线参加开标。</w:t>
            </w:r>
          </w:p>
        </w:tc>
      </w:tr>
      <w:tr w14:paraId="633A7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1B3683E9">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20</w:t>
            </w:r>
          </w:p>
        </w:tc>
        <w:tc>
          <w:tcPr>
            <w:tcW w:w="686" w:type="pct"/>
            <w:tcBorders>
              <w:top w:val="single" w:color="000000" w:sz="4" w:space="0"/>
              <w:left w:val="single" w:color="000000" w:sz="4" w:space="0"/>
              <w:bottom w:val="single" w:color="000000" w:sz="4" w:space="0"/>
              <w:right w:val="single" w:color="000000" w:sz="4" w:space="0"/>
            </w:tcBorders>
            <w:vAlign w:val="center"/>
          </w:tcPr>
          <w:p w14:paraId="59DA16ED">
            <w:pPr>
              <w:snapToGrid w:val="0"/>
              <w:spacing w:line="400" w:lineRule="exact"/>
              <w:jc w:val="center"/>
              <w:rPr>
                <w:rFonts w:hint="eastAsia" w:ascii="宋体" w:eastAsia="宋体" w:cs="宋体"/>
                <w:sz w:val="24"/>
                <w:highlight w:val="none"/>
              </w:rPr>
            </w:pPr>
            <w:r>
              <w:rPr>
                <w:rFonts w:hint="eastAsia" w:ascii="宋体" w:eastAsia="宋体" w:cs="宋体"/>
                <w:b/>
                <w:bCs/>
                <w:sz w:val="24"/>
                <w:highlight w:val="none"/>
              </w:rPr>
              <w:t>*</w:t>
            </w:r>
            <w:r>
              <w:rPr>
                <w:rFonts w:hint="eastAsia" w:ascii="宋体" w:eastAsia="宋体" w:cs="宋体"/>
                <w:sz w:val="24"/>
                <w:highlight w:val="none"/>
              </w:rPr>
              <w:t>是否授权评标委员会确定中标人</w:t>
            </w:r>
          </w:p>
        </w:tc>
        <w:tc>
          <w:tcPr>
            <w:tcW w:w="4019" w:type="pct"/>
            <w:tcBorders>
              <w:top w:val="single" w:color="000000" w:sz="4" w:space="0"/>
              <w:left w:val="single" w:color="000000" w:sz="4" w:space="0"/>
              <w:bottom w:val="single" w:color="000000" w:sz="4" w:space="0"/>
              <w:right w:val="single" w:color="000000" w:sz="4" w:space="0"/>
            </w:tcBorders>
            <w:vAlign w:val="center"/>
          </w:tcPr>
          <w:p w14:paraId="0FB0E0A4">
            <w:pPr>
              <w:snapToGrid w:val="0"/>
              <w:spacing w:line="400" w:lineRule="exact"/>
              <w:ind w:firstLine="120" w:firstLineChars="50"/>
              <w:jc w:val="left"/>
              <w:rPr>
                <w:rFonts w:hint="eastAsia" w:ascii="宋体" w:eastAsia="宋体" w:cs="宋体"/>
                <w:b/>
                <w:sz w:val="24"/>
              </w:rPr>
            </w:pPr>
            <w:r>
              <w:rPr>
                <w:rFonts w:hint="eastAsia" w:ascii="宋体" w:eastAsia="宋体" w:cs="宋体"/>
                <w:bCs/>
                <w:sz w:val="24"/>
                <w:highlight w:val="none"/>
              </w:rPr>
              <w:t>是，推荐的中标候选人数：</w:t>
            </w:r>
            <w:r>
              <w:rPr>
                <w:rFonts w:hint="eastAsia" w:ascii="宋体" w:eastAsia="宋体" w:cs="宋体"/>
                <w:b/>
                <w:sz w:val="24"/>
              </w:rPr>
              <w:t>①符合资格条件的投标单位20家（含）及以上时，按综合评分排名高低依次入围</w:t>
            </w:r>
            <w:r>
              <w:rPr>
                <w:rFonts w:ascii="宋体" w:eastAsia="宋体" w:cs="宋体"/>
                <w:b/>
                <w:sz w:val="24"/>
              </w:rPr>
              <w:t>15</w:t>
            </w:r>
            <w:r>
              <w:rPr>
                <w:rFonts w:hint="eastAsia" w:ascii="宋体" w:eastAsia="宋体" w:cs="宋体"/>
                <w:b/>
                <w:sz w:val="24"/>
              </w:rPr>
              <w:t>家</w:t>
            </w:r>
            <w:r>
              <w:rPr>
                <w:rFonts w:hint="eastAsia" w:ascii="宋体" w:eastAsia="宋体" w:cs="宋体"/>
                <w:b/>
                <w:sz w:val="24"/>
                <w:lang w:eastAsia="zh-CN"/>
              </w:rPr>
              <w:t>（</w:t>
            </w:r>
            <w:r>
              <w:rPr>
                <w:rFonts w:hint="eastAsia" w:ascii="宋体" w:eastAsia="宋体" w:cs="宋体"/>
                <w:b/>
                <w:sz w:val="24"/>
              </w:rPr>
              <w:t>选取公司营业执照注册地在</w:t>
            </w:r>
            <w:r>
              <w:rPr>
                <w:rFonts w:hint="eastAsia" w:ascii="宋体" w:eastAsia="宋体" w:cs="宋体"/>
                <w:b/>
                <w:sz w:val="24"/>
                <w:lang w:val="en-US" w:eastAsia="zh-CN"/>
              </w:rPr>
              <w:t>浙江省</w:t>
            </w:r>
            <w:r>
              <w:rPr>
                <w:rFonts w:hint="eastAsia" w:ascii="宋体" w:eastAsia="宋体" w:cs="宋体"/>
                <w:b/>
                <w:sz w:val="24"/>
              </w:rPr>
              <w:t>范围内的</w:t>
            </w:r>
            <w:r>
              <w:rPr>
                <w:rFonts w:hint="eastAsia" w:ascii="宋体" w:eastAsia="宋体" w:cs="宋体"/>
                <w:b/>
                <w:sz w:val="24"/>
                <w:lang w:val="en-US" w:eastAsia="zh-CN"/>
              </w:rPr>
              <w:t>1</w:t>
            </w:r>
            <w:r>
              <w:rPr>
                <w:rFonts w:ascii="宋体" w:eastAsia="宋体" w:cs="宋体"/>
                <w:b/>
                <w:sz w:val="24"/>
                <w:lang w:val="en-US" w:eastAsia="zh-CN"/>
              </w:rPr>
              <w:t>3</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内入围单位</w:t>
            </w:r>
            <w:r>
              <w:rPr>
                <w:rFonts w:hint="eastAsia" w:ascii="宋体" w:eastAsia="宋体" w:cs="宋体"/>
                <w:b/>
                <w:sz w:val="24"/>
                <w:lang w:eastAsia="zh-CN"/>
              </w:rPr>
              <w:t>，</w:t>
            </w:r>
            <w:r>
              <w:rPr>
                <w:rFonts w:hint="eastAsia" w:ascii="宋体" w:eastAsia="宋体" w:cs="宋体"/>
                <w:b/>
                <w:sz w:val="24"/>
              </w:rPr>
              <w:t>公司营业执照注册地在</w:t>
            </w:r>
            <w:r>
              <w:rPr>
                <w:rFonts w:hint="eastAsia" w:ascii="宋体" w:eastAsia="宋体" w:cs="宋体"/>
                <w:b/>
                <w:sz w:val="24"/>
                <w:lang w:val="en-US" w:eastAsia="zh-CN"/>
              </w:rPr>
              <w:t>浙江省</w:t>
            </w:r>
            <w:r>
              <w:rPr>
                <w:rFonts w:hint="eastAsia" w:ascii="宋体" w:eastAsia="宋体" w:cs="宋体"/>
                <w:b/>
                <w:sz w:val="24"/>
              </w:rPr>
              <w:t>范围外的</w:t>
            </w:r>
            <w:r>
              <w:rPr>
                <w:rFonts w:hint="eastAsia" w:ascii="宋体" w:eastAsia="宋体" w:cs="宋体"/>
                <w:b/>
                <w:sz w:val="24"/>
                <w:lang w:val="en-US" w:eastAsia="zh-CN"/>
              </w:rPr>
              <w:t>2</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外入围单位</w:t>
            </w:r>
            <w:r>
              <w:rPr>
                <w:rFonts w:hint="eastAsia" w:ascii="宋体" w:eastAsia="宋体" w:cs="宋体"/>
                <w:b/>
                <w:sz w:val="24"/>
                <w:lang w:eastAsia="zh-CN"/>
              </w:rPr>
              <w:t>，</w:t>
            </w:r>
            <w:r>
              <w:rPr>
                <w:rFonts w:hint="eastAsia" w:ascii="宋体" w:eastAsia="宋体" w:cs="宋体"/>
                <w:b/>
                <w:sz w:val="24"/>
              </w:rPr>
              <w:t>若在注册地在</w:t>
            </w:r>
            <w:r>
              <w:rPr>
                <w:rFonts w:hint="eastAsia" w:ascii="宋体" w:eastAsia="宋体" w:cs="宋体"/>
                <w:b/>
                <w:sz w:val="24"/>
                <w:lang w:val="en-US" w:eastAsia="zh-CN"/>
              </w:rPr>
              <w:t>浙江省</w:t>
            </w:r>
            <w:r>
              <w:rPr>
                <w:rFonts w:hint="eastAsia" w:ascii="宋体" w:eastAsia="宋体" w:cs="宋体"/>
                <w:b/>
                <w:sz w:val="24"/>
              </w:rPr>
              <w:t>外</w:t>
            </w:r>
            <w:r>
              <w:rPr>
                <w:rFonts w:hint="eastAsia" w:ascii="宋体" w:eastAsia="宋体" w:cs="宋体"/>
                <w:b/>
                <w:sz w:val="24"/>
                <w:lang w:val="en-US" w:eastAsia="zh-CN"/>
              </w:rPr>
              <w:t>的</w:t>
            </w:r>
            <w:r>
              <w:rPr>
                <w:rFonts w:hint="eastAsia" w:ascii="宋体" w:eastAsia="宋体" w:cs="宋体"/>
                <w:b/>
                <w:sz w:val="24"/>
              </w:rPr>
              <w:t>企业家数不足</w:t>
            </w:r>
            <w:r>
              <w:rPr>
                <w:rFonts w:hint="eastAsia" w:ascii="宋体" w:eastAsia="宋体" w:cs="宋体"/>
                <w:b/>
                <w:sz w:val="24"/>
                <w:lang w:val="en-US" w:eastAsia="zh-CN"/>
              </w:rPr>
              <w:t>2</w:t>
            </w:r>
            <w:r>
              <w:rPr>
                <w:rFonts w:hint="eastAsia" w:ascii="宋体" w:eastAsia="宋体" w:cs="宋体"/>
                <w:b/>
                <w:sz w:val="24"/>
              </w:rPr>
              <w:t>家的，空余名额调剂给注册地在</w:t>
            </w:r>
            <w:r>
              <w:rPr>
                <w:rFonts w:hint="eastAsia" w:ascii="宋体" w:eastAsia="宋体" w:cs="宋体"/>
                <w:b/>
                <w:sz w:val="24"/>
                <w:lang w:val="en-US" w:eastAsia="zh-CN"/>
              </w:rPr>
              <w:t>浙江省内</w:t>
            </w:r>
            <w:r>
              <w:rPr>
                <w:rFonts w:hint="eastAsia" w:ascii="宋体" w:eastAsia="宋体" w:cs="宋体"/>
                <w:b/>
                <w:sz w:val="24"/>
              </w:rPr>
              <w:t>企业入围名额</w:t>
            </w:r>
            <w:r>
              <w:rPr>
                <w:rFonts w:hint="eastAsia" w:ascii="宋体" w:eastAsia="宋体" w:cs="宋体"/>
                <w:b/>
                <w:sz w:val="24"/>
                <w:lang w:eastAsia="zh-CN"/>
              </w:rPr>
              <w:t>）</w:t>
            </w:r>
            <w:r>
              <w:rPr>
                <w:rFonts w:hint="eastAsia" w:ascii="宋体" w:eastAsia="宋体" w:cs="宋体"/>
                <w:b/>
                <w:sz w:val="24"/>
              </w:rPr>
              <w:t>；</w:t>
            </w:r>
          </w:p>
          <w:p w14:paraId="16B88F31">
            <w:pPr>
              <w:snapToGrid w:val="0"/>
              <w:spacing w:line="400" w:lineRule="exact"/>
              <w:ind w:firstLine="120" w:firstLineChars="50"/>
              <w:jc w:val="left"/>
              <w:rPr>
                <w:rFonts w:hint="eastAsia" w:ascii="宋体" w:eastAsia="宋体" w:cs="宋体"/>
                <w:b/>
                <w:sz w:val="24"/>
              </w:rPr>
            </w:pPr>
            <w:r>
              <w:rPr>
                <w:rFonts w:hint="eastAsia" w:ascii="宋体" w:eastAsia="宋体" w:cs="宋体"/>
                <w:b/>
                <w:sz w:val="24"/>
              </w:rPr>
              <w:t>②符合资格条件的投标单位15（含）-</w:t>
            </w:r>
            <w:r>
              <w:rPr>
                <w:rFonts w:ascii="宋体" w:eastAsia="宋体" w:cs="宋体"/>
                <w:b/>
                <w:sz w:val="24"/>
              </w:rPr>
              <w:t>19</w:t>
            </w:r>
            <w:r>
              <w:rPr>
                <w:rFonts w:hint="eastAsia" w:ascii="宋体" w:eastAsia="宋体" w:cs="宋体"/>
                <w:b/>
                <w:sz w:val="24"/>
              </w:rPr>
              <w:t>家时，按综合评分排名高低依次入围</w:t>
            </w:r>
            <w:r>
              <w:rPr>
                <w:rFonts w:ascii="宋体" w:eastAsia="宋体" w:cs="宋体"/>
                <w:b/>
                <w:sz w:val="24"/>
              </w:rPr>
              <w:t>12</w:t>
            </w:r>
            <w:r>
              <w:rPr>
                <w:rFonts w:hint="eastAsia" w:ascii="宋体" w:eastAsia="宋体" w:cs="宋体"/>
                <w:b/>
                <w:sz w:val="24"/>
              </w:rPr>
              <w:t>家</w:t>
            </w:r>
            <w:r>
              <w:rPr>
                <w:rFonts w:hint="eastAsia" w:ascii="宋体" w:eastAsia="宋体" w:cs="宋体"/>
                <w:b/>
                <w:sz w:val="24"/>
                <w:lang w:eastAsia="zh-CN"/>
              </w:rPr>
              <w:t>（</w:t>
            </w:r>
            <w:r>
              <w:rPr>
                <w:rFonts w:hint="eastAsia" w:ascii="宋体" w:eastAsia="宋体" w:cs="宋体"/>
                <w:b/>
                <w:sz w:val="24"/>
              </w:rPr>
              <w:t>选取公司营业执照注册地在</w:t>
            </w:r>
            <w:r>
              <w:rPr>
                <w:rFonts w:hint="eastAsia" w:ascii="宋体" w:eastAsia="宋体" w:cs="宋体"/>
                <w:b/>
                <w:sz w:val="24"/>
                <w:lang w:val="en-US" w:eastAsia="zh-CN"/>
              </w:rPr>
              <w:t>浙江省</w:t>
            </w:r>
            <w:r>
              <w:rPr>
                <w:rFonts w:hint="eastAsia" w:ascii="宋体" w:eastAsia="宋体" w:cs="宋体"/>
                <w:b/>
                <w:sz w:val="24"/>
              </w:rPr>
              <w:t>范围内的</w:t>
            </w:r>
            <w:r>
              <w:rPr>
                <w:rFonts w:ascii="宋体" w:eastAsia="宋体" w:cs="宋体"/>
                <w:b/>
                <w:sz w:val="24"/>
                <w:lang w:val="en-US" w:eastAsia="zh-CN"/>
              </w:rPr>
              <w:t>10</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内入围单位</w:t>
            </w:r>
            <w:r>
              <w:rPr>
                <w:rFonts w:hint="eastAsia" w:ascii="宋体" w:eastAsia="宋体" w:cs="宋体"/>
                <w:b/>
                <w:sz w:val="24"/>
                <w:lang w:eastAsia="zh-CN"/>
              </w:rPr>
              <w:t>，</w:t>
            </w:r>
            <w:r>
              <w:rPr>
                <w:rFonts w:hint="eastAsia" w:ascii="宋体" w:eastAsia="宋体" w:cs="宋体"/>
                <w:b/>
                <w:sz w:val="24"/>
              </w:rPr>
              <w:t>公司营业执照注册地在</w:t>
            </w:r>
            <w:r>
              <w:rPr>
                <w:rFonts w:hint="eastAsia" w:ascii="宋体" w:eastAsia="宋体" w:cs="宋体"/>
                <w:b/>
                <w:sz w:val="24"/>
                <w:lang w:val="en-US" w:eastAsia="zh-CN"/>
              </w:rPr>
              <w:t>浙江省</w:t>
            </w:r>
            <w:r>
              <w:rPr>
                <w:rFonts w:hint="eastAsia" w:ascii="宋体" w:eastAsia="宋体" w:cs="宋体"/>
                <w:b/>
                <w:sz w:val="24"/>
              </w:rPr>
              <w:t>范围外的</w:t>
            </w:r>
            <w:r>
              <w:rPr>
                <w:rFonts w:hint="eastAsia" w:ascii="宋体" w:eastAsia="宋体" w:cs="宋体"/>
                <w:b/>
                <w:sz w:val="24"/>
                <w:lang w:val="en-US" w:eastAsia="zh-CN"/>
              </w:rPr>
              <w:t>2</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外入围单位</w:t>
            </w:r>
            <w:r>
              <w:rPr>
                <w:rFonts w:hint="eastAsia" w:ascii="宋体" w:eastAsia="宋体" w:cs="宋体"/>
                <w:b/>
                <w:sz w:val="24"/>
                <w:lang w:eastAsia="zh-CN"/>
              </w:rPr>
              <w:t>，</w:t>
            </w:r>
            <w:r>
              <w:rPr>
                <w:rFonts w:hint="eastAsia" w:ascii="宋体" w:eastAsia="宋体" w:cs="宋体"/>
                <w:b/>
                <w:sz w:val="24"/>
              </w:rPr>
              <w:t>若在注册地在</w:t>
            </w:r>
            <w:r>
              <w:rPr>
                <w:rFonts w:hint="eastAsia" w:ascii="宋体" w:eastAsia="宋体" w:cs="宋体"/>
                <w:b/>
                <w:sz w:val="24"/>
                <w:lang w:val="en-US" w:eastAsia="zh-CN"/>
              </w:rPr>
              <w:t>浙江省</w:t>
            </w:r>
            <w:r>
              <w:rPr>
                <w:rFonts w:hint="eastAsia" w:ascii="宋体" w:eastAsia="宋体" w:cs="宋体"/>
                <w:b/>
                <w:sz w:val="24"/>
              </w:rPr>
              <w:t>外</w:t>
            </w:r>
            <w:r>
              <w:rPr>
                <w:rFonts w:hint="eastAsia" w:ascii="宋体" w:eastAsia="宋体" w:cs="宋体"/>
                <w:b/>
                <w:sz w:val="24"/>
                <w:lang w:val="en-US" w:eastAsia="zh-CN"/>
              </w:rPr>
              <w:t>的</w:t>
            </w:r>
            <w:r>
              <w:rPr>
                <w:rFonts w:hint="eastAsia" w:ascii="宋体" w:eastAsia="宋体" w:cs="宋体"/>
                <w:b/>
                <w:sz w:val="24"/>
              </w:rPr>
              <w:t>企业家数不足</w:t>
            </w:r>
            <w:r>
              <w:rPr>
                <w:rFonts w:hint="eastAsia" w:ascii="宋体" w:eastAsia="宋体" w:cs="宋体"/>
                <w:b/>
                <w:sz w:val="24"/>
                <w:lang w:val="en-US" w:eastAsia="zh-CN"/>
              </w:rPr>
              <w:t>2</w:t>
            </w:r>
            <w:r>
              <w:rPr>
                <w:rFonts w:hint="eastAsia" w:ascii="宋体" w:eastAsia="宋体" w:cs="宋体"/>
                <w:b/>
                <w:sz w:val="24"/>
              </w:rPr>
              <w:t>家的，空余名额调剂给注册地在</w:t>
            </w:r>
            <w:r>
              <w:rPr>
                <w:rFonts w:hint="eastAsia" w:ascii="宋体" w:eastAsia="宋体" w:cs="宋体"/>
                <w:b/>
                <w:sz w:val="24"/>
                <w:lang w:val="en-US" w:eastAsia="zh-CN"/>
              </w:rPr>
              <w:t>浙江省内</w:t>
            </w:r>
            <w:r>
              <w:rPr>
                <w:rFonts w:hint="eastAsia" w:ascii="宋体" w:eastAsia="宋体" w:cs="宋体"/>
                <w:b/>
                <w:sz w:val="24"/>
              </w:rPr>
              <w:t>企业入围名额</w:t>
            </w:r>
            <w:r>
              <w:rPr>
                <w:rFonts w:hint="eastAsia" w:ascii="宋体" w:eastAsia="宋体" w:cs="宋体"/>
                <w:b/>
                <w:sz w:val="24"/>
                <w:lang w:eastAsia="zh-CN"/>
              </w:rPr>
              <w:t>）</w:t>
            </w:r>
            <w:r>
              <w:rPr>
                <w:rFonts w:hint="eastAsia" w:ascii="宋体" w:eastAsia="宋体" w:cs="宋体"/>
                <w:b/>
                <w:sz w:val="24"/>
              </w:rPr>
              <w:t>；</w:t>
            </w:r>
          </w:p>
          <w:p w14:paraId="67EC4BB1">
            <w:pPr>
              <w:snapToGrid w:val="0"/>
              <w:spacing w:line="400" w:lineRule="exact"/>
              <w:ind w:firstLine="120" w:firstLineChars="50"/>
              <w:jc w:val="left"/>
              <w:rPr>
                <w:rFonts w:hint="eastAsia" w:ascii="宋体" w:eastAsia="宋体" w:cs="宋体"/>
                <w:sz w:val="24"/>
                <w:highlight w:val="none"/>
                <w:lang w:val="en-US" w:eastAsia="zh-CN"/>
              </w:rPr>
            </w:pPr>
            <w:r>
              <w:rPr>
                <w:rFonts w:hint="eastAsia" w:ascii="宋体" w:eastAsia="宋体" w:cs="宋体"/>
                <w:b/>
                <w:sz w:val="24"/>
              </w:rPr>
              <w:t>③符合资格条件的投标单位1</w:t>
            </w:r>
            <w:r>
              <w:rPr>
                <w:rFonts w:ascii="宋体" w:eastAsia="宋体" w:cs="宋体"/>
                <w:b/>
                <w:sz w:val="24"/>
              </w:rPr>
              <w:t>5</w:t>
            </w:r>
            <w:r>
              <w:rPr>
                <w:rFonts w:hint="eastAsia" w:ascii="宋体" w:eastAsia="宋体" w:cs="宋体"/>
                <w:b/>
                <w:sz w:val="24"/>
              </w:rPr>
              <w:t>家</w:t>
            </w:r>
            <w:r>
              <w:rPr>
                <w:rFonts w:ascii="宋体" w:eastAsia="宋体" w:cs="宋体"/>
                <w:b/>
                <w:sz w:val="24"/>
              </w:rPr>
              <w:t>以下</w:t>
            </w:r>
            <w:r>
              <w:rPr>
                <w:rFonts w:hint="eastAsia" w:ascii="宋体" w:eastAsia="宋体" w:cs="宋体"/>
                <w:b/>
                <w:sz w:val="24"/>
              </w:rPr>
              <w:t>时，按综合评分排名高低依次入围</w:t>
            </w:r>
            <w:r>
              <w:rPr>
                <w:rFonts w:ascii="宋体" w:eastAsia="宋体" w:cs="宋体"/>
                <w:b/>
                <w:sz w:val="24"/>
              </w:rPr>
              <w:t>10</w:t>
            </w:r>
            <w:r>
              <w:rPr>
                <w:rFonts w:hint="eastAsia" w:ascii="宋体" w:eastAsia="宋体" w:cs="宋体"/>
                <w:b/>
                <w:sz w:val="24"/>
              </w:rPr>
              <w:t>家</w:t>
            </w:r>
            <w:r>
              <w:rPr>
                <w:rFonts w:hint="eastAsia" w:ascii="宋体" w:eastAsia="宋体" w:cs="宋体"/>
                <w:b/>
                <w:sz w:val="24"/>
                <w:lang w:eastAsia="zh-CN"/>
              </w:rPr>
              <w:t>（</w:t>
            </w:r>
            <w:r>
              <w:rPr>
                <w:rFonts w:hint="eastAsia" w:ascii="宋体" w:eastAsia="宋体" w:cs="宋体"/>
                <w:b/>
                <w:sz w:val="24"/>
              </w:rPr>
              <w:t>选取公司营业执照注册地在</w:t>
            </w:r>
            <w:r>
              <w:rPr>
                <w:rFonts w:hint="eastAsia" w:ascii="宋体" w:eastAsia="宋体" w:cs="宋体"/>
                <w:b/>
                <w:sz w:val="24"/>
                <w:lang w:val="en-US" w:eastAsia="zh-CN"/>
              </w:rPr>
              <w:t>浙江省</w:t>
            </w:r>
            <w:r>
              <w:rPr>
                <w:rFonts w:hint="eastAsia" w:ascii="宋体" w:eastAsia="宋体" w:cs="宋体"/>
                <w:b/>
                <w:sz w:val="24"/>
              </w:rPr>
              <w:t>范围内的</w:t>
            </w:r>
            <w:r>
              <w:rPr>
                <w:rFonts w:ascii="宋体" w:eastAsia="宋体" w:cs="宋体"/>
                <w:b/>
                <w:sz w:val="24"/>
                <w:lang w:val="en-US" w:eastAsia="zh-CN"/>
              </w:rPr>
              <w:t>8</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内入围单位</w:t>
            </w:r>
            <w:r>
              <w:rPr>
                <w:rFonts w:hint="eastAsia" w:ascii="宋体" w:eastAsia="宋体" w:cs="宋体"/>
                <w:b/>
                <w:sz w:val="24"/>
                <w:lang w:eastAsia="zh-CN"/>
              </w:rPr>
              <w:t>，</w:t>
            </w:r>
            <w:r>
              <w:rPr>
                <w:rFonts w:hint="eastAsia" w:ascii="宋体" w:eastAsia="宋体" w:cs="宋体"/>
                <w:b/>
                <w:sz w:val="24"/>
              </w:rPr>
              <w:t>公司营业执照注册地在</w:t>
            </w:r>
            <w:r>
              <w:rPr>
                <w:rFonts w:hint="eastAsia" w:ascii="宋体" w:eastAsia="宋体" w:cs="宋体"/>
                <w:b/>
                <w:sz w:val="24"/>
                <w:lang w:val="en-US" w:eastAsia="zh-CN"/>
              </w:rPr>
              <w:t>浙江省</w:t>
            </w:r>
            <w:r>
              <w:rPr>
                <w:rFonts w:hint="eastAsia" w:ascii="宋体" w:eastAsia="宋体" w:cs="宋体"/>
                <w:b/>
                <w:sz w:val="24"/>
              </w:rPr>
              <w:t>范围外的</w:t>
            </w:r>
            <w:r>
              <w:rPr>
                <w:rFonts w:hint="eastAsia" w:ascii="宋体" w:eastAsia="宋体" w:cs="宋体"/>
                <w:b/>
                <w:sz w:val="24"/>
                <w:lang w:val="en-US" w:eastAsia="zh-CN"/>
              </w:rPr>
              <w:t>2</w:t>
            </w:r>
            <w:r>
              <w:rPr>
                <w:rFonts w:hint="eastAsia" w:ascii="宋体" w:eastAsia="宋体" w:cs="宋体"/>
                <w:b/>
                <w:sz w:val="24"/>
              </w:rPr>
              <w:t>家单位作为</w:t>
            </w:r>
            <w:r>
              <w:rPr>
                <w:rFonts w:hint="eastAsia" w:ascii="宋体" w:eastAsia="宋体" w:cs="宋体"/>
                <w:b/>
                <w:sz w:val="24"/>
                <w:lang w:val="en-US" w:eastAsia="zh-CN"/>
              </w:rPr>
              <w:t>省</w:t>
            </w:r>
            <w:r>
              <w:rPr>
                <w:rFonts w:hint="eastAsia" w:ascii="宋体" w:eastAsia="宋体" w:cs="宋体"/>
                <w:b/>
                <w:sz w:val="24"/>
              </w:rPr>
              <w:t>外入围单位</w:t>
            </w:r>
            <w:r>
              <w:rPr>
                <w:rFonts w:hint="eastAsia" w:ascii="宋体" w:eastAsia="宋体" w:cs="宋体"/>
                <w:b/>
                <w:sz w:val="24"/>
                <w:lang w:eastAsia="zh-CN"/>
              </w:rPr>
              <w:t>，</w:t>
            </w:r>
            <w:r>
              <w:rPr>
                <w:rFonts w:hint="eastAsia" w:ascii="宋体" w:eastAsia="宋体" w:cs="宋体"/>
                <w:b/>
                <w:sz w:val="24"/>
              </w:rPr>
              <w:t>若在注册地在</w:t>
            </w:r>
            <w:r>
              <w:rPr>
                <w:rFonts w:hint="eastAsia" w:ascii="宋体" w:eastAsia="宋体" w:cs="宋体"/>
                <w:b/>
                <w:sz w:val="24"/>
                <w:lang w:val="en-US" w:eastAsia="zh-CN"/>
              </w:rPr>
              <w:t>浙江省</w:t>
            </w:r>
            <w:r>
              <w:rPr>
                <w:rFonts w:hint="eastAsia" w:ascii="宋体" w:eastAsia="宋体" w:cs="宋体"/>
                <w:b/>
                <w:sz w:val="24"/>
              </w:rPr>
              <w:t>外</w:t>
            </w:r>
            <w:r>
              <w:rPr>
                <w:rFonts w:hint="eastAsia" w:ascii="宋体" w:eastAsia="宋体" w:cs="宋体"/>
                <w:b/>
                <w:sz w:val="24"/>
                <w:lang w:val="en-US" w:eastAsia="zh-CN"/>
              </w:rPr>
              <w:t>的</w:t>
            </w:r>
            <w:r>
              <w:rPr>
                <w:rFonts w:hint="eastAsia" w:ascii="宋体" w:eastAsia="宋体" w:cs="宋体"/>
                <w:b/>
                <w:sz w:val="24"/>
              </w:rPr>
              <w:t>企业家数不足</w:t>
            </w:r>
            <w:r>
              <w:rPr>
                <w:rFonts w:hint="eastAsia" w:ascii="宋体" w:eastAsia="宋体" w:cs="宋体"/>
                <w:b/>
                <w:sz w:val="24"/>
                <w:lang w:val="en-US" w:eastAsia="zh-CN"/>
              </w:rPr>
              <w:t>2</w:t>
            </w:r>
            <w:r>
              <w:rPr>
                <w:rFonts w:hint="eastAsia" w:ascii="宋体" w:eastAsia="宋体" w:cs="宋体"/>
                <w:b/>
                <w:sz w:val="24"/>
              </w:rPr>
              <w:t>家的，空余名额调剂给注册地在</w:t>
            </w:r>
            <w:r>
              <w:rPr>
                <w:rFonts w:hint="eastAsia" w:ascii="宋体" w:eastAsia="宋体" w:cs="宋体"/>
                <w:b/>
                <w:sz w:val="24"/>
                <w:lang w:val="en-US" w:eastAsia="zh-CN"/>
              </w:rPr>
              <w:t>浙江省内</w:t>
            </w:r>
            <w:r>
              <w:rPr>
                <w:rFonts w:hint="eastAsia" w:ascii="宋体" w:eastAsia="宋体" w:cs="宋体"/>
                <w:b/>
                <w:sz w:val="24"/>
              </w:rPr>
              <w:t>企业入围名额</w:t>
            </w:r>
            <w:r>
              <w:rPr>
                <w:rFonts w:hint="eastAsia" w:ascii="宋体" w:eastAsia="宋体" w:cs="宋体"/>
                <w:b/>
                <w:sz w:val="24"/>
                <w:lang w:eastAsia="zh-CN"/>
              </w:rPr>
              <w:t>）</w:t>
            </w:r>
            <w:r>
              <w:rPr>
                <w:rFonts w:hint="eastAsia" w:ascii="宋体" w:eastAsia="宋体" w:cs="宋体"/>
                <w:b/>
                <w:sz w:val="24"/>
              </w:rPr>
              <w:t>。</w:t>
            </w:r>
          </w:p>
        </w:tc>
      </w:tr>
      <w:tr w14:paraId="290D1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3CDE774B">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21</w:t>
            </w:r>
          </w:p>
        </w:tc>
        <w:tc>
          <w:tcPr>
            <w:tcW w:w="686" w:type="pct"/>
            <w:tcBorders>
              <w:top w:val="single" w:color="000000" w:sz="4" w:space="0"/>
              <w:left w:val="single" w:color="000000" w:sz="4" w:space="0"/>
              <w:bottom w:val="single" w:color="000000" w:sz="4" w:space="0"/>
              <w:right w:val="single" w:color="000000" w:sz="4" w:space="0"/>
            </w:tcBorders>
            <w:vAlign w:val="center"/>
          </w:tcPr>
          <w:p w14:paraId="73B2AFDE">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中标通知</w:t>
            </w:r>
          </w:p>
        </w:tc>
        <w:tc>
          <w:tcPr>
            <w:tcW w:w="4019" w:type="pct"/>
            <w:tcBorders>
              <w:top w:val="single" w:color="000000" w:sz="4" w:space="0"/>
              <w:left w:val="single" w:color="000000" w:sz="4" w:space="0"/>
              <w:bottom w:val="single" w:color="000000" w:sz="4" w:space="0"/>
              <w:right w:val="single" w:color="000000" w:sz="4" w:space="0"/>
            </w:tcBorders>
            <w:vAlign w:val="center"/>
          </w:tcPr>
          <w:p w14:paraId="3E643B03">
            <w:pPr>
              <w:snapToGrid w:val="0"/>
              <w:spacing w:line="400" w:lineRule="exact"/>
              <w:jc w:val="left"/>
              <w:rPr>
                <w:rFonts w:hint="eastAsia" w:ascii="宋体" w:eastAsia="宋体" w:cs="宋体"/>
                <w:sz w:val="24"/>
                <w:highlight w:val="none"/>
                <w:lang w:val="zh-CN" w:eastAsia="zh-CN"/>
              </w:rPr>
            </w:pPr>
            <w:r>
              <w:rPr>
                <w:rFonts w:hint="eastAsia" w:ascii="宋体" w:eastAsia="宋体" w:cs="宋体"/>
                <w:sz w:val="24"/>
                <w:highlight w:val="none"/>
              </w:rPr>
              <w:t>在投标有效期内，招标人以书面形式向中标人发出中标通知书。</w:t>
            </w:r>
          </w:p>
        </w:tc>
      </w:tr>
      <w:tr w14:paraId="0EEA1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vAlign w:val="center"/>
          </w:tcPr>
          <w:p w14:paraId="5BEF3263">
            <w:pPr>
              <w:snapToGrid w:val="0"/>
              <w:spacing w:line="400" w:lineRule="exact"/>
              <w:jc w:val="center"/>
              <w:rPr>
                <w:rFonts w:hint="eastAsia" w:ascii="宋体" w:eastAsia="宋体" w:cs="宋体"/>
                <w:sz w:val="24"/>
                <w:highlight w:val="none"/>
              </w:rPr>
            </w:pPr>
            <w:r>
              <w:rPr>
                <w:rFonts w:hint="eastAsia" w:ascii="宋体" w:eastAsia="宋体" w:cs="宋体"/>
                <w:sz w:val="24"/>
                <w:highlight w:val="none"/>
              </w:rPr>
              <w:t>22</w:t>
            </w:r>
          </w:p>
        </w:tc>
        <w:tc>
          <w:tcPr>
            <w:tcW w:w="686" w:type="pct"/>
            <w:tcBorders>
              <w:top w:val="single" w:color="000000" w:sz="4" w:space="0"/>
              <w:left w:val="single" w:color="000000" w:sz="4" w:space="0"/>
              <w:bottom w:val="single" w:color="000000" w:sz="4" w:space="0"/>
              <w:right w:val="single" w:color="000000" w:sz="4" w:space="0"/>
            </w:tcBorders>
            <w:vAlign w:val="center"/>
          </w:tcPr>
          <w:p w14:paraId="55AC23E9">
            <w:pPr>
              <w:snapToGrid w:val="0"/>
              <w:spacing w:line="400" w:lineRule="exact"/>
              <w:ind w:firstLine="240" w:firstLineChars="100"/>
              <w:rPr>
                <w:rFonts w:hint="eastAsia" w:ascii="宋体" w:eastAsia="宋体" w:cs="宋体"/>
                <w:sz w:val="24"/>
                <w:highlight w:val="none"/>
              </w:rPr>
            </w:pPr>
            <w:r>
              <w:rPr>
                <w:rFonts w:hint="eastAsia" w:ascii="宋体" w:eastAsia="宋体" w:cs="宋体"/>
                <w:sz w:val="24"/>
                <w:highlight w:val="none"/>
              </w:rPr>
              <w:t>履约担保</w:t>
            </w:r>
          </w:p>
        </w:tc>
        <w:tc>
          <w:tcPr>
            <w:tcW w:w="4019" w:type="pct"/>
            <w:tcBorders>
              <w:top w:val="single" w:color="000000" w:sz="4" w:space="0"/>
              <w:left w:val="single" w:color="000000" w:sz="4" w:space="0"/>
              <w:bottom w:val="single" w:color="000000" w:sz="4" w:space="0"/>
              <w:right w:val="single" w:color="000000" w:sz="4" w:space="0"/>
            </w:tcBorders>
            <w:vAlign w:val="center"/>
          </w:tcPr>
          <w:p w14:paraId="7E84C764">
            <w:pPr>
              <w:spacing w:line="400" w:lineRule="exact"/>
              <w:ind w:firstLine="240" w:firstLineChars="100"/>
              <w:jc w:val="left"/>
              <w:rPr>
                <w:rFonts w:hint="eastAsia" w:ascii="宋体" w:eastAsia="宋体" w:cs="宋体"/>
                <w:sz w:val="24"/>
                <w:highlight w:val="none"/>
                <w:lang w:val="zh-CN"/>
              </w:rPr>
            </w:pPr>
            <w:r>
              <w:rPr>
                <w:rFonts w:hint="eastAsia" w:ascii="宋体" w:eastAsia="宋体" w:cs="宋体"/>
                <w:sz w:val="24"/>
                <w:highlight w:val="none"/>
              </w:rPr>
              <w:t>1、</w:t>
            </w:r>
            <w:r>
              <w:rPr>
                <w:rFonts w:hint="eastAsia" w:ascii="宋体" w:eastAsia="宋体" w:cs="宋体"/>
                <w:sz w:val="24"/>
                <w:highlight w:val="none"/>
                <w:lang w:val="zh-CN"/>
              </w:rPr>
              <w:t>履约担保的金额：中标人应提交金额为10000元的履约担保（无息）；（如工程量发生变化，不作为中途补交或退还履约担保的理由，由此产生的风险由投标人自行承担）。</w:t>
            </w:r>
          </w:p>
          <w:p w14:paraId="4D1D1B0B">
            <w:pPr>
              <w:spacing w:line="400" w:lineRule="exact"/>
              <w:ind w:firstLine="240" w:firstLineChars="100"/>
              <w:jc w:val="left"/>
              <w:rPr>
                <w:rFonts w:hint="eastAsia" w:ascii="宋体" w:eastAsia="宋体" w:cs="宋体"/>
                <w:sz w:val="24"/>
                <w:highlight w:val="none"/>
                <w:lang w:val="zh-CN"/>
              </w:rPr>
            </w:pPr>
            <w:r>
              <w:rPr>
                <w:rFonts w:hint="eastAsia" w:ascii="宋体" w:eastAsia="宋体" w:cs="宋体"/>
                <w:sz w:val="24"/>
                <w:highlight w:val="none"/>
              </w:rPr>
              <w:t>2、</w:t>
            </w:r>
            <w:r>
              <w:rPr>
                <w:rFonts w:hint="eastAsia" w:ascii="宋体" w:eastAsia="宋体" w:cs="宋体"/>
                <w:sz w:val="24"/>
                <w:highlight w:val="none"/>
                <w:lang w:val="zh-CN"/>
              </w:rPr>
              <w:t>履约担保的缴纳时间：以银行转账方式缴纳的，在中标通知书发出后</w:t>
            </w:r>
            <w:r>
              <w:rPr>
                <w:rFonts w:hint="eastAsia" w:ascii="宋体" w:eastAsia="宋体" w:cs="宋体"/>
                <w:sz w:val="24"/>
                <w:highlight w:val="none"/>
              </w:rPr>
              <w:t>15</w:t>
            </w:r>
            <w:r>
              <w:rPr>
                <w:rFonts w:hint="eastAsia" w:ascii="宋体" w:eastAsia="宋体" w:cs="宋体"/>
                <w:sz w:val="24"/>
                <w:highlight w:val="none"/>
                <w:lang w:val="zh-CN"/>
              </w:rPr>
              <w:t>个工作日内必须汇入招标人指定账户；采用履约保函的，自合同签订后20日历天内提交，逾期将取消入围资格。</w:t>
            </w:r>
          </w:p>
          <w:p w14:paraId="383C0538">
            <w:pPr>
              <w:snapToGrid w:val="0"/>
              <w:spacing w:line="400" w:lineRule="exact"/>
              <w:ind w:firstLine="240" w:firstLineChars="100"/>
              <w:jc w:val="left"/>
              <w:rPr>
                <w:rFonts w:hint="eastAsia" w:ascii="宋体" w:eastAsia="宋体" w:cs="宋体"/>
                <w:sz w:val="24"/>
                <w:highlight w:val="none"/>
                <w:lang w:val="zh-CN" w:eastAsia="zh-CN"/>
              </w:rPr>
            </w:pPr>
            <w:r>
              <w:rPr>
                <w:rFonts w:hint="eastAsia" w:ascii="宋体" w:eastAsia="宋体" w:cs="宋体"/>
                <w:sz w:val="24"/>
                <w:highlight w:val="none"/>
              </w:rPr>
              <w:t>3、</w:t>
            </w:r>
            <w:r>
              <w:rPr>
                <w:rFonts w:hint="eastAsia" w:ascii="宋体" w:eastAsia="宋体" w:cs="宋体"/>
                <w:sz w:val="24"/>
                <w:highlight w:val="none"/>
                <w:lang w:val="zh-CN"/>
              </w:rPr>
              <w:t>入围单位履约担保年度招标服务结束后1个月内退还（无息）；中签项目履约担保在项目竣工验收后1个月内退还（无息）。如有违约，扣除违约金后其余无息退还。</w:t>
            </w:r>
          </w:p>
        </w:tc>
      </w:tr>
      <w:tr w14:paraId="642C2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B837A">
            <w:pPr>
              <w:snapToGrid w:val="0"/>
              <w:spacing w:line="400" w:lineRule="exact"/>
              <w:jc w:val="center"/>
              <w:rPr>
                <w:rFonts w:hint="eastAsia" w:ascii="宋体" w:eastAsia="宋体" w:cs="宋体"/>
                <w:kern w:val="2"/>
                <w:sz w:val="24"/>
                <w:szCs w:val="24"/>
                <w:highlight w:val="none"/>
                <w:lang w:val="en-US" w:eastAsia="zh-CN" w:bidi="ar-SA"/>
              </w:rPr>
            </w:pPr>
            <w:r>
              <w:rPr>
                <w:rFonts w:hint="eastAsia" w:ascii="宋体" w:eastAsia="宋体" w:cs="宋体"/>
                <w:sz w:val="24"/>
                <w:highlight w:val="none"/>
              </w:rPr>
              <w:t>23</w:t>
            </w:r>
          </w:p>
        </w:tc>
        <w:tc>
          <w:tcPr>
            <w:tcW w:w="6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D3A4A">
            <w:pPr>
              <w:snapToGrid w:val="0"/>
              <w:spacing w:line="360" w:lineRule="auto"/>
              <w:jc w:val="center"/>
              <w:rPr>
                <w:rFonts w:hint="eastAsia" w:ascii="宋体" w:eastAsia="宋体" w:cs="Arial"/>
                <w:color w:val="auto"/>
                <w:kern w:val="2"/>
                <w:sz w:val="24"/>
                <w:szCs w:val="24"/>
                <w:highlight w:val="none"/>
                <w:lang w:val="en-US" w:eastAsia="zh-CN" w:bidi="ar-SA"/>
              </w:rPr>
            </w:pPr>
            <w:r>
              <w:rPr>
                <w:rFonts w:hint="eastAsia" w:ascii="宋体"/>
                <w:color w:val="auto"/>
                <w:sz w:val="24"/>
                <w:highlight w:val="none"/>
              </w:rPr>
              <w:t>中标服务费</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D053F">
            <w:pPr>
              <w:adjustRightInd w:val="0"/>
              <w:snapToGrid w:val="0"/>
              <w:spacing w:line="360" w:lineRule="auto"/>
              <w:jc w:val="left"/>
              <w:rPr>
                <w:rFonts w:hint="eastAsia" w:ascii="宋体" w:eastAsia="宋体" w:cs="Arial"/>
                <w:color w:val="auto"/>
                <w:kern w:val="2"/>
                <w:sz w:val="24"/>
                <w:szCs w:val="24"/>
                <w:highlight w:val="none"/>
                <w:lang w:val="en-US" w:eastAsia="zh-CN" w:bidi="ar-SA"/>
              </w:rPr>
            </w:pPr>
            <w:r>
              <w:rPr>
                <w:rFonts w:ascii="宋体"/>
                <w:color w:val="auto"/>
                <w:sz w:val="24"/>
              </w:rPr>
              <w:t>本项目</w:t>
            </w:r>
            <w:r>
              <w:rPr>
                <w:rFonts w:hint="eastAsia" w:ascii="宋体"/>
                <w:color w:val="auto"/>
                <w:sz w:val="24"/>
              </w:rPr>
              <w:t>每家入围单位均须向招标代理机构交纳中标服务费</w:t>
            </w:r>
            <w:r>
              <w:rPr>
                <w:rFonts w:hint="eastAsia" w:ascii="宋体"/>
                <w:color w:val="auto"/>
                <w:sz w:val="24"/>
                <w:lang w:val="en-US" w:eastAsia="zh-CN"/>
              </w:rPr>
              <w:t>肆</w:t>
            </w:r>
            <w:r>
              <w:rPr>
                <w:rFonts w:hint="eastAsia" w:ascii="宋体"/>
                <w:color w:val="auto"/>
                <w:sz w:val="24"/>
              </w:rPr>
              <w:t>仟元整</w:t>
            </w:r>
            <w:r>
              <w:rPr>
                <w:rFonts w:ascii="宋体"/>
                <w:color w:val="auto"/>
                <w:sz w:val="24"/>
              </w:rPr>
              <w:t>。</w:t>
            </w:r>
            <w:r>
              <w:rPr>
                <w:rFonts w:hint="eastAsia" w:ascii="宋体"/>
                <w:color w:val="auto"/>
                <w:sz w:val="24"/>
                <w:lang w:val="en-US" w:eastAsia="zh-CN"/>
              </w:rPr>
              <w:t>中标</w:t>
            </w:r>
            <w:r>
              <w:rPr>
                <w:rFonts w:ascii="宋体"/>
                <w:color w:val="auto"/>
                <w:sz w:val="24"/>
              </w:rPr>
              <w:t>服务费在报价表中无需单列报价子项，由投标人自行在企业运营成本中考虑。</w:t>
            </w:r>
          </w:p>
        </w:tc>
      </w:tr>
      <w:tr w14:paraId="486DC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7B805">
            <w:pPr>
              <w:snapToGrid w:val="0"/>
              <w:spacing w:line="400" w:lineRule="exact"/>
              <w:jc w:val="center"/>
              <w:rPr>
                <w:rFonts w:hint="eastAsia" w:ascii="宋体" w:eastAsia="宋体" w:cs="宋体"/>
                <w:kern w:val="2"/>
                <w:sz w:val="24"/>
                <w:szCs w:val="24"/>
                <w:highlight w:val="none"/>
                <w:lang w:val="en-US" w:eastAsia="zh-CN" w:bidi="ar-SA"/>
              </w:rPr>
            </w:pPr>
            <w:r>
              <w:rPr>
                <w:rFonts w:hint="eastAsia" w:ascii="宋体" w:eastAsia="宋体" w:cs="宋体"/>
                <w:sz w:val="24"/>
                <w:highlight w:val="none"/>
              </w:rPr>
              <w:t>24</w:t>
            </w:r>
          </w:p>
        </w:tc>
        <w:tc>
          <w:tcPr>
            <w:tcW w:w="686" w:type="pct"/>
            <w:tcBorders>
              <w:top w:val="single" w:color="000000" w:sz="4" w:space="0"/>
              <w:left w:val="single" w:color="000000" w:sz="4" w:space="0"/>
              <w:bottom w:val="single" w:color="000000" w:sz="4" w:space="0"/>
              <w:right w:val="single" w:color="000000" w:sz="4" w:space="0"/>
            </w:tcBorders>
            <w:vAlign w:val="center"/>
          </w:tcPr>
          <w:p w14:paraId="6965B353">
            <w:pPr>
              <w:snapToGrid w:val="0"/>
              <w:spacing w:line="360" w:lineRule="auto"/>
              <w:jc w:val="center"/>
              <w:rPr>
                <w:rFonts w:hint="eastAsia" w:ascii="宋体" w:eastAsia="宋体" w:cs="宋体"/>
                <w:sz w:val="24"/>
                <w:highlight w:val="none"/>
              </w:rPr>
            </w:pPr>
            <w:r>
              <w:rPr>
                <w:rFonts w:hint="eastAsia" w:ascii="宋体"/>
                <w:color w:val="auto"/>
                <w:sz w:val="24"/>
                <w:highlight w:val="none"/>
              </w:rPr>
              <w:t>解释权</w:t>
            </w:r>
          </w:p>
        </w:tc>
        <w:tc>
          <w:tcPr>
            <w:tcW w:w="4019" w:type="pct"/>
            <w:tcBorders>
              <w:top w:val="single" w:color="000000" w:sz="4" w:space="0"/>
              <w:left w:val="single" w:color="000000" w:sz="4" w:space="0"/>
              <w:bottom w:val="single" w:color="000000" w:sz="4" w:space="0"/>
              <w:right w:val="single" w:color="000000" w:sz="4" w:space="0"/>
            </w:tcBorders>
            <w:vAlign w:val="center"/>
          </w:tcPr>
          <w:p w14:paraId="706CD9E1">
            <w:pPr>
              <w:autoSpaceDE w:val="0"/>
              <w:autoSpaceDN w:val="0"/>
              <w:snapToGrid w:val="0"/>
              <w:spacing w:line="360" w:lineRule="auto"/>
              <w:textAlignment w:val="bottom"/>
              <w:rPr>
                <w:rFonts w:hint="eastAsia" w:ascii="宋体" w:eastAsia="宋体" w:cs="宋体"/>
                <w:sz w:val="24"/>
                <w:highlight w:val="none"/>
              </w:rPr>
            </w:pPr>
            <w:r>
              <w:rPr>
                <w:rFonts w:hint="eastAsia" w:ascii="宋体"/>
                <w:color w:val="auto"/>
                <w:sz w:val="24"/>
                <w:highlight w:val="none"/>
              </w:rPr>
              <w:t>本招标文件的解释权属于招标人和招标代理机构。</w:t>
            </w:r>
          </w:p>
        </w:tc>
      </w:tr>
      <w:tr w14:paraId="4D19F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202B6">
            <w:pPr>
              <w:snapToGrid w:val="0"/>
              <w:spacing w:line="400" w:lineRule="exact"/>
              <w:jc w:val="center"/>
              <w:rPr>
                <w:rFonts w:ascii="宋体" w:eastAsia="宋体" w:cs="宋体"/>
                <w:sz w:val="24"/>
                <w:highlight w:val="none"/>
                <w:lang w:val="en-US" w:eastAsia="zh-CN"/>
              </w:rPr>
            </w:pPr>
            <w:r>
              <w:rPr>
                <w:rFonts w:hint="eastAsia" w:ascii="宋体" w:eastAsia="宋体" w:cs="宋体"/>
                <w:sz w:val="24"/>
                <w:highlight w:val="none"/>
                <w:lang w:val="en-US" w:eastAsia="zh-CN"/>
              </w:rPr>
              <w:t>25</w:t>
            </w:r>
          </w:p>
        </w:tc>
        <w:tc>
          <w:tcPr>
            <w:tcW w:w="686" w:type="pct"/>
            <w:tcBorders>
              <w:top w:val="single" w:color="000000" w:sz="4" w:space="0"/>
              <w:left w:val="single" w:color="000000" w:sz="4" w:space="0"/>
              <w:bottom w:val="single" w:color="000000" w:sz="4" w:space="0"/>
              <w:right w:val="single" w:color="000000" w:sz="4" w:space="0"/>
            </w:tcBorders>
            <w:vAlign w:val="center"/>
          </w:tcPr>
          <w:p w14:paraId="706A6BE3">
            <w:pPr>
              <w:snapToGrid w:val="0"/>
              <w:spacing w:line="360" w:lineRule="auto"/>
              <w:jc w:val="center"/>
              <w:rPr>
                <w:rFonts w:hint="eastAsia" w:ascii="宋体" w:eastAsia="宋体" w:cs="宋体"/>
                <w:sz w:val="24"/>
                <w:highlight w:val="none"/>
              </w:rPr>
            </w:pPr>
            <w:r>
              <w:rPr>
                <w:rFonts w:hint="eastAsia" w:ascii="宋体"/>
                <w:color w:val="auto"/>
                <w:sz w:val="24"/>
                <w:highlight w:val="none"/>
              </w:rPr>
              <w:t>其他</w:t>
            </w:r>
          </w:p>
        </w:tc>
        <w:tc>
          <w:tcPr>
            <w:tcW w:w="4019" w:type="pct"/>
            <w:tcBorders>
              <w:top w:val="single" w:color="000000" w:sz="4" w:space="0"/>
              <w:left w:val="single" w:color="000000" w:sz="4" w:space="0"/>
              <w:bottom w:val="single" w:color="000000" w:sz="4" w:space="0"/>
              <w:right w:val="single" w:color="000000" w:sz="4" w:space="0"/>
            </w:tcBorders>
            <w:vAlign w:val="center"/>
          </w:tcPr>
          <w:p w14:paraId="366C8138">
            <w:pPr>
              <w:autoSpaceDE w:val="0"/>
              <w:autoSpaceDN w:val="0"/>
              <w:snapToGrid w:val="0"/>
              <w:spacing w:line="360" w:lineRule="auto"/>
              <w:textAlignment w:val="bottom"/>
              <w:rPr>
                <w:rFonts w:hint="eastAsia" w:ascii="宋体" w:eastAsia="宋体" w:cs="宋体"/>
                <w:sz w:val="24"/>
                <w:highlight w:val="none"/>
              </w:rPr>
            </w:pPr>
            <w:r>
              <w:rPr>
                <w:rFonts w:hint="eastAsia" w:ascii="宋体"/>
                <w:color w:val="auto"/>
                <w:sz w:val="24"/>
                <w:highlight w:val="none"/>
              </w:rPr>
              <w:t>根据国家发改委2018年第16号令，本项目为非依法必须招标项目，按照巨化招标管理办法的规定执行。</w:t>
            </w:r>
          </w:p>
        </w:tc>
      </w:tr>
      <w:tr w14:paraId="049F5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000" w:type="pct"/>
            <w:gridSpan w:val="3"/>
            <w:tcBorders>
              <w:top w:val="single" w:color="000000" w:sz="4" w:space="0"/>
              <w:left w:val="single" w:color="000000" w:sz="4" w:space="0"/>
              <w:bottom w:val="single" w:color="000000" w:sz="4" w:space="0"/>
              <w:right w:val="single" w:color="000000" w:sz="4" w:space="0"/>
            </w:tcBorders>
            <w:vAlign w:val="center"/>
          </w:tcPr>
          <w:p w14:paraId="320C6067">
            <w:pPr>
              <w:snapToGrid w:val="0"/>
              <w:spacing w:line="400" w:lineRule="exact"/>
              <w:rPr>
                <w:rFonts w:hint="eastAsia" w:ascii="宋体" w:eastAsia="宋体" w:cs="宋体"/>
                <w:sz w:val="24"/>
                <w:highlight w:val="none"/>
              </w:rPr>
            </w:pPr>
            <w:r>
              <w:rPr>
                <w:rFonts w:hint="eastAsia" w:ascii="宋体" w:eastAsia="宋体" w:cs="宋体"/>
                <w:sz w:val="24"/>
                <w:highlight w:val="none"/>
              </w:rPr>
              <w:t>中标公示</w:t>
            </w:r>
          </w:p>
        </w:tc>
      </w:tr>
      <w:tr w14:paraId="7C024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vAlign w:val="center"/>
          </w:tcPr>
          <w:p w14:paraId="0391A273">
            <w:pPr>
              <w:snapToGrid w:val="0"/>
              <w:spacing w:line="400" w:lineRule="exact"/>
              <w:ind w:firstLine="424" w:firstLineChars="177"/>
              <w:rPr>
                <w:rFonts w:hint="eastAsia" w:ascii="宋体" w:eastAsia="宋体" w:cs="宋体"/>
                <w:sz w:val="24"/>
                <w:highlight w:val="none"/>
              </w:rPr>
            </w:pPr>
            <w:r>
              <w:rPr>
                <w:rFonts w:hint="eastAsia" w:ascii="宋体" w:eastAsia="宋体" w:cs="宋体"/>
                <w:sz w:val="24"/>
                <w:highlight w:val="none"/>
                <w:lang w:val="zh-CN"/>
              </w:rPr>
              <w:t>在中标通知书发出前</w:t>
            </w:r>
            <w:r>
              <w:rPr>
                <w:rFonts w:hint="eastAsia" w:ascii="宋体" w:eastAsia="宋体" w:cs="宋体"/>
                <w:sz w:val="24"/>
                <w:highlight w:val="none"/>
              </w:rPr>
              <w:t>，</w:t>
            </w:r>
            <w:r>
              <w:rPr>
                <w:rFonts w:hint="eastAsia" w:ascii="宋体" w:eastAsia="宋体" w:cs="宋体"/>
                <w:sz w:val="24"/>
                <w:highlight w:val="none"/>
                <w:lang w:val="zh-CN"/>
              </w:rPr>
              <w:t>招标人将中标人的情况在</w:t>
            </w:r>
            <w:r>
              <w:rPr>
                <w:rFonts w:hint="eastAsia" w:ascii="宋体" w:eastAsia="宋体" w:cs="宋体"/>
                <w:sz w:val="24"/>
                <w:highlight w:val="none"/>
              </w:rPr>
              <w:t>化工云商网（巨化数字化招采平台）https://juhua.ccccnet.com/</w:t>
            </w:r>
            <w:r>
              <w:rPr>
                <w:rFonts w:hint="eastAsia" w:ascii="宋体" w:eastAsia="宋体" w:cs="宋体"/>
                <w:sz w:val="24"/>
                <w:highlight w:val="none"/>
                <w:lang w:val="zh-CN"/>
              </w:rPr>
              <w:t>予以公示</w:t>
            </w:r>
            <w:r>
              <w:rPr>
                <w:rFonts w:hint="eastAsia" w:ascii="宋体" w:eastAsia="宋体" w:cs="宋体"/>
                <w:sz w:val="24"/>
                <w:highlight w:val="none"/>
              </w:rPr>
              <w:t>，</w:t>
            </w:r>
            <w:r>
              <w:rPr>
                <w:rFonts w:hint="eastAsia" w:ascii="宋体" w:eastAsia="宋体" w:cs="宋体"/>
                <w:sz w:val="24"/>
                <w:highlight w:val="none"/>
                <w:lang w:val="zh-CN"/>
              </w:rPr>
              <w:t>公示期为</w:t>
            </w:r>
            <w:r>
              <w:rPr>
                <w:rFonts w:hint="eastAsia" w:ascii="宋体" w:eastAsia="宋体" w:cs="宋体"/>
                <w:sz w:val="24"/>
                <w:highlight w:val="none"/>
              </w:rPr>
              <w:t>3</w:t>
            </w:r>
            <w:r>
              <w:rPr>
                <w:rFonts w:hint="eastAsia" w:ascii="宋体" w:eastAsia="宋体" w:cs="宋体"/>
                <w:sz w:val="24"/>
                <w:highlight w:val="none"/>
                <w:lang w:val="zh-CN"/>
              </w:rPr>
              <w:t>日。</w:t>
            </w:r>
          </w:p>
        </w:tc>
      </w:tr>
      <w:tr w14:paraId="7A37F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vAlign w:val="center"/>
          </w:tcPr>
          <w:p w14:paraId="62894404">
            <w:pPr>
              <w:snapToGrid w:val="0"/>
              <w:spacing w:line="400" w:lineRule="exact"/>
              <w:ind w:firstLine="424" w:firstLineChars="177"/>
              <w:rPr>
                <w:rFonts w:hint="eastAsia" w:ascii="宋体" w:eastAsia="宋体" w:cs="宋体"/>
                <w:sz w:val="24"/>
                <w:lang w:val="en-US" w:eastAsia="zh-CN"/>
              </w:rPr>
            </w:pPr>
            <w:r>
              <w:rPr>
                <w:rFonts w:hint="eastAsia" w:ascii="宋体" w:cs="宋体"/>
                <w:sz w:val="24"/>
                <w:lang w:val="en-US" w:eastAsia="zh-CN"/>
              </w:rPr>
              <w:t>特别说明</w:t>
            </w:r>
          </w:p>
        </w:tc>
      </w:tr>
      <w:tr w14:paraId="5DE818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vAlign w:val="center"/>
          </w:tcPr>
          <w:p w14:paraId="16E2AFEE">
            <w:pPr>
              <w:numPr>
                <w:ilvl w:val="0"/>
                <w:numId w:val="7"/>
              </w:numPr>
              <w:snapToGrid w:val="0"/>
              <w:spacing w:line="400" w:lineRule="exact"/>
              <w:ind w:left="0" w:firstLine="424" w:firstLineChars="177"/>
              <w:rPr>
                <w:lang w:val="en-US" w:eastAsia="zh-CN"/>
              </w:rPr>
            </w:pPr>
            <w:r>
              <w:rPr>
                <w:rFonts w:hint="eastAsia" w:ascii="宋体" w:cs="宋体"/>
                <w:sz w:val="24"/>
                <w:lang w:val="en-US" w:eastAsia="zh-CN"/>
              </w:rPr>
              <w:t>本次招标除了贵金属等特殊危废或采用综合利用方式处置的可委托浙江省外单位处置，其余原则是浙江省内单位处置，请各投标单位知悉。</w:t>
            </w:r>
          </w:p>
        </w:tc>
      </w:tr>
      <w:tr w14:paraId="60F21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vAlign w:val="center"/>
          </w:tcPr>
          <w:p w14:paraId="3A8A086B">
            <w:pPr>
              <w:snapToGrid w:val="0"/>
              <w:spacing w:line="400" w:lineRule="exact"/>
              <w:jc w:val="center"/>
              <w:rPr>
                <w:rFonts w:hint="eastAsia" w:ascii="宋体" w:eastAsia="宋体" w:cs="宋体"/>
                <w:sz w:val="28"/>
                <w:szCs w:val="28"/>
                <w:highlight w:val="none"/>
              </w:rPr>
            </w:pPr>
            <w:r>
              <w:rPr>
                <w:rFonts w:hint="eastAsia" w:ascii="宋体" w:eastAsia="宋体" w:cs="宋体"/>
                <w:sz w:val="28"/>
                <w:szCs w:val="28"/>
                <w:highlight w:val="none"/>
              </w:rPr>
              <w:t>巨化集团公司危险废物清单</w:t>
            </w:r>
          </w:p>
          <w:tbl>
            <w:tblPr>
              <w:tblStyle w:val="23"/>
              <w:tblW w:w="0" w:type="auto"/>
              <w:tblInd w:w="0" w:type="dxa"/>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Layout w:type="autofit"/>
              <w:tblCellMar>
                <w:top w:w="0" w:type="dxa"/>
                <w:left w:w="108" w:type="dxa"/>
                <w:bottom w:w="0" w:type="dxa"/>
                <w:right w:w="108" w:type="dxa"/>
              </w:tblCellMar>
            </w:tblPr>
            <w:tblGrid>
              <w:gridCol w:w="961"/>
              <w:gridCol w:w="2898"/>
              <w:gridCol w:w="2551"/>
              <w:gridCol w:w="2835"/>
            </w:tblGrid>
            <w:tr w14:paraId="2748469D">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13" w:hRule="atLeast"/>
              </w:trPr>
              <w:tc>
                <w:tcPr>
                  <w:tcW w:w="961" w:type="dxa"/>
                  <w:shd w:val="solid" w:color="E2EFD9" w:fill="auto"/>
                  <w:vAlign w:val="center"/>
                </w:tcPr>
                <w:p w14:paraId="2BE8CE4C">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序号</w:t>
                  </w:r>
                </w:p>
              </w:tc>
              <w:tc>
                <w:tcPr>
                  <w:tcW w:w="2898" w:type="dxa"/>
                  <w:shd w:val="solid" w:color="E2EFD9" w:fill="auto"/>
                  <w:vAlign w:val="center"/>
                </w:tcPr>
                <w:p w14:paraId="0A1D4AD8">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危废名称</w:t>
                  </w:r>
                </w:p>
              </w:tc>
              <w:tc>
                <w:tcPr>
                  <w:tcW w:w="2551" w:type="dxa"/>
                  <w:shd w:val="solid" w:color="E2EFD9" w:fill="auto"/>
                  <w:vAlign w:val="center"/>
                </w:tcPr>
                <w:p w14:paraId="22DC8035">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危废代码</w:t>
                  </w:r>
                </w:p>
              </w:tc>
              <w:tc>
                <w:tcPr>
                  <w:tcW w:w="2835" w:type="dxa"/>
                  <w:shd w:val="solid" w:color="E2EFD9" w:fill="auto"/>
                  <w:vAlign w:val="center"/>
                </w:tcPr>
                <w:p w14:paraId="6C542146">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代码编号</w:t>
                  </w:r>
                </w:p>
              </w:tc>
            </w:tr>
            <w:tr w14:paraId="5AF32A1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55" w:hRule="atLeast"/>
              </w:trPr>
              <w:tc>
                <w:tcPr>
                  <w:tcW w:w="961" w:type="dxa"/>
                  <w:vMerge w:val="restart"/>
                  <w:shd w:val="solid" w:color="E2EFD9" w:fill="auto"/>
                  <w:vAlign w:val="center"/>
                </w:tcPr>
                <w:p w14:paraId="711C9712">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1</w:t>
                  </w:r>
                </w:p>
              </w:tc>
              <w:tc>
                <w:tcPr>
                  <w:tcW w:w="2898" w:type="dxa"/>
                  <w:vAlign w:val="center"/>
                </w:tcPr>
                <w:p w14:paraId="471ADC06">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废四氢呋喃</w:t>
                  </w:r>
                </w:p>
              </w:tc>
              <w:tc>
                <w:tcPr>
                  <w:tcW w:w="2551" w:type="dxa"/>
                  <w:vMerge w:val="restart"/>
                  <w:shd w:val="solid" w:color="E2EFD9" w:fill="auto"/>
                  <w:vAlign w:val="center"/>
                </w:tcPr>
                <w:p w14:paraId="7747DE8E">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HW06</w:t>
                  </w:r>
                </w:p>
              </w:tc>
              <w:tc>
                <w:tcPr>
                  <w:tcW w:w="2835" w:type="dxa"/>
                  <w:vMerge w:val="restart"/>
                  <w:vAlign w:val="center"/>
                </w:tcPr>
                <w:p w14:paraId="67B38A39">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kern w:val="0"/>
                      <w:szCs w:val="21"/>
                      <w:highlight w:val="none"/>
                    </w:rPr>
                    <w:t>900-404-06</w:t>
                  </w:r>
                </w:p>
              </w:tc>
            </w:tr>
            <w:tr w14:paraId="619E3C18">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00" w:hRule="atLeast"/>
              </w:trPr>
              <w:tc>
                <w:tcPr>
                  <w:tcW w:w="961" w:type="dxa"/>
                  <w:vMerge w:val="continue"/>
                  <w:shd w:val="solid" w:color="E2EFD9" w:fill="auto"/>
                  <w:vAlign w:val="center"/>
                </w:tcPr>
                <w:p w14:paraId="68D7DA46"/>
              </w:tc>
              <w:tc>
                <w:tcPr>
                  <w:tcW w:w="2898" w:type="dxa"/>
                  <w:shd w:val="solid" w:color="E2EFD9" w:fill="auto"/>
                  <w:vAlign w:val="center"/>
                </w:tcPr>
                <w:p w14:paraId="6017BAED">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冷凝废液</w:t>
                  </w:r>
                </w:p>
              </w:tc>
              <w:tc>
                <w:tcPr>
                  <w:tcW w:w="2551" w:type="dxa"/>
                  <w:vMerge w:val="continue"/>
                  <w:shd w:val="solid" w:color="E2EFD9" w:fill="auto"/>
                  <w:vAlign w:val="center"/>
                </w:tcPr>
                <w:p w14:paraId="7E9821DA"/>
              </w:tc>
              <w:tc>
                <w:tcPr>
                  <w:tcW w:w="2835" w:type="dxa"/>
                  <w:vMerge w:val="continue"/>
                  <w:shd w:val="solid" w:color="E2EFD9" w:fill="auto"/>
                  <w:vAlign w:val="center"/>
                </w:tcPr>
                <w:p w14:paraId="1FA797FD"/>
              </w:tc>
            </w:tr>
            <w:tr w14:paraId="6B4780C1">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9" w:hRule="atLeast"/>
              </w:trPr>
              <w:tc>
                <w:tcPr>
                  <w:tcW w:w="961" w:type="dxa"/>
                  <w:vMerge w:val="continue"/>
                  <w:shd w:val="solid" w:color="E2EFD9" w:fill="auto"/>
                  <w:vAlign w:val="center"/>
                </w:tcPr>
                <w:p w14:paraId="0D9093DF"/>
              </w:tc>
              <w:tc>
                <w:tcPr>
                  <w:tcW w:w="2898" w:type="dxa"/>
                  <w:vAlign w:val="center"/>
                </w:tcPr>
                <w:p w14:paraId="004DB127">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废异丙醇</w:t>
                  </w:r>
                </w:p>
              </w:tc>
              <w:tc>
                <w:tcPr>
                  <w:tcW w:w="2551" w:type="dxa"/>
                  <w:vMerge w:val="continue"/>
                  <w:shd w:val="solid" w:color="E2EFD9" w:fill="auto"/>
                  <w:vAlign w:val="center"/>
                </w:tcPr>
                <w:p w14:paraId="0A17B5B1"/>
              </w:tc>
              <w:tc>
                <w:tcPr>
                  <w:tcW w:w="2835" w:type="dxa"/>
                  <w:vAlign w:val="center"/>
                </w:tcPr>
                <w:p w14:paraId="0D10111C">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900-402-06</w:t>
                  </w:r>
                </w:p>
              </w:tc>
            </w:tr>
            <w:tr w14:paraId="3E762D4A">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9" w:hRule="atLeast"/>
              </w:trPr>
              <w:tc>
                <w:tcPr>
                  <w:tcW w:w="961" w:type="dxa"/>
                  <w:vMerge w:val="continue"/>
                  <w:shd w:val="solid" w:color="E2EFD9" w:fill="auto"/>
                  <w:vAlign w:val="center"/>
                </w:tcPr>
                <w:p w14:paraId="18AEAC91"/>
              </w:tc>
              <w:tc>
                <w:tcPr>
                  <w:tcW w:w="2898" w:type="dxa"/>
                  <w:shd w:val="solid" w:color="E2EFD9" w:fill="auto"/>
                  <w:vAlign w:val="center"/>
                </w:tcPr>
                <w:p w14:paraId="54361ED7">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lang w:val="en-US" w:eastAsia="zh-CN"/>
                    </w:rPr>
                    <w:t>废分子筛</w:t>
                  </w:r>
                </w:p>
              </w:tc>
              <w:tc>
                <w:tcPr>
                  <w:tcW w:w="2551" w:type="dxa"/>
                  <w:vMerge w:val="continue"/>
                  <w:shd w:val="solid" w:color="E2EFD9" w:fill="auto"/>
                  <w:vAlign w:val="center"/>
                </w:tcPr>
                <w:p w14:paraId="71D5078E"/>
              </w:tc>
              <w:tc>
                <w:tcPr>
                  <w:tcW w:w="2835" w:type="dxa"/>
                  <w:shd w:val="solid" w:color="E2EFD9" w:fill="auto"/>
                  <w:vAlign w:val="center"/>
                </w:tcPr>
                <w:p w14:paraId="5B5A1FC0">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lang w:val="en-US" w:eastAsia="zh-CN"/>
                    </w:rPr>
                    <w:t>900-405-06</w:t>
                  </w:r>
                </w:p>
              </w:tc>
            </w:tr>
            <w:tr w14:paraId="3D496B74">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9" w:hRule="atLeast"/>
              </w:trPr>
              <w:tc>
                <w:tcPr>
                  <w:tcW w:w="961" w:type="dxa"/>
                  <w:vMerge w:val="continue"/>
                  <w:shd w:val="solid" w:color="E2EFD9" w:fill="auto"/>
                  <w:vAlign w:val="center"/>
                </w:tcPr>
                <w:p w14:paraId="38F98CC8"/>
              </w:tc>
              <w:tc>
                <w:tcPr>
                  <w:tcW w:w="2898" w:type="dxa"/>
                  <w:vAlign w:val="center"/>
                </w:tcPr>
                <w:p w14:paraId="257779E3">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lang w:val="en-US" w:eastAsia="zh-CN"/>
                    </w:rPr>
                    <w:t>污泥</w:t>
                  </w:r>
                </w:p>
              </w:tc>
              <w:tc>
                <w:tcPr>
                  <w:tcW w:w="2551" w:type="dxa"/>
                  <w:vMerge w:val="continue"/>
                  <w:shd w:val="solid" w:color="E2EFD9" w:fill="auto"/>
                  <w:vAlign w:val="center"/>
                </w:tcPr>
                <w:p w14:paraId="0CAF351F"/>
              </w:tc>
              <w:tc>
                <w:tcPr>
                  <w:tcW w:w="2835" w:type="dxa"/>
                  <w:vAlign w:val="center"/>
                </w:tcPr>
                <w:p w14:paraId="0D0001E2">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lang w:val="en-US" w:eastAsia="zh-CN"/>
                    </w:rPr>
                    <w:t>900-409-06</w:t>
                  </w:r>
                </w:p>
              </w:tc>
            </w:tr>
            <w:tr w14:paraId="67C8F273">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55" w:hRule="atLeast"/>
              </w:trPr>
              <w:tc>
                <w:tcPr>
                  <w:tcW w:w="961" w:type="dxa"/>
                  <w:vMerge w:val="restart"/>
                  <w:shd w:val="solid" w:color="E2EFD9" w:fill="auto"/>
                  <w:vAlign w:val="center"/>
                </w:tcPr>
                <w:p w14:paraId="0BDBA09F">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w:t>
                  </w:r>
                </w:p>
              </w:tc>
              <w:tc>
                <w:tcPr>
                  <w:tcW w:w="2898" w:type="dxa"/>
                  <w:shd w:val="solid" w:color="E2EFD9" w:fill="auto"/>
                  <w:vAlign w:val="center"/>
                </w:tcPr>
                <w:p w14:paraId="1B652B75">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废矿物油</w:t>
                  </w:r>
                  <w:r>
                    <w:rPr>
                      <w:rFonts w:ascii="宋体" w:eastAsia="宋体" w:cs="宋体"/>
                      <w:color w:val="000000"/>
                      <w:kern w:val="0"/>
                      <w:szCs w:val="21"/>
                      <w:highlight w:val="none"/>
                    </w:rPr>
                    <w:t>、废导热油</w:t>
                  </w:r>
                </w:p>
              </w:tc>
              <w:tc>
                <w:tcPr>
                  <w:tcW w:w="2551" w:type="dxa"/>
                  <w:vMerge w:val="restart"/>
                  <w:shd w:val="solid" w:color="E2EFD9" w:fill="auto"/>
                  <w:vAlign w:val="center"/>
                </w:tcPr>
                <w:p w14:paraId="019EB83E">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HW08</w:t>
                  </w:r>
                </w:p>
              </w:tc>
              <w:tc>
                <w:tcPr>
                  <w:tcW w:w="2835" w:type="dxa"/>
                  <w:shd w:val="solid" w:color="E2EFD9" w:fill="auto"/>
                  <w:vAlign w:val="center"/>
                </w:tcPr>
                <w:p w14:paraId="78F94D0F">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900-249-08</w:t>
                  </w:r>
                </w:p>
              </w:tc>
            </w:tr>
            <w:tr w14:paraId="26793751">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55" w:hRule="atLeast"/>
              </w:trPr>
              <w:tc>
                <w:tcPr>
                  <w:tcW w:w="961" w:type="dxa"/>
                  <w:vMerge w:val="continue"/>
                  <w:shd w:val="solid" w:color="E2EFD9" w:fill="auto"/>
                  <w:vAlign w:val="center"/>
                </w:tcPr>
                <w:p w14:paraId="4B8179A5"/>
              </w:tc>
              <w:tc>
                <w:tcPr>
                  <w:tcW w:w="2898" w:type="dxa"/>
                  <w:vAlign w:val="center"/>
                </w:tcPr>
                <w:p w14:paraId="03DEAA36">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废油渣</w:t>
                  </w:r>
                </w:p>
              </w:tc>
              <w:tc>
                <w:tcPr>
                  <w:tcW w:w="2551" w:type="dxa"/>
                  <w:vMerge w:val="continue"/>
                  <w:shd w:val="solid" w:color="E2EFD9" w:fill="auto"/>
                  <w:vAlign w:val="center"/>
                </w:tcPr>
                <w:p w14:paraId="13322583"/>
              </w:tc>
              <w:tc>
                <w:tcPr>
                  <w:tcW w:w="2835" w:type="dxa"/>
                  <w:vAlign w:val="center"/>
                </w:tcPr>
                <w:p w14:paraId="08D44C96">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900-213-08</w:t>
                  </w:r>
                </w:p>
              </w:tc>
            </w:tr>
            <w:tr w14:paraId="2C0AF7B6">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03C22B9A"/>
              </w:tc>
              <w:tc>
                <w:tcPr>
                  <w:tcW w:w="2898" w:type="dxa"/>
                  <w:shd w:val="solid" w:color="E2EFD9" w:fill="auto"/>
                  <w:vAlign w:val="center"/>
                </w:tcPr>
                <w:p w14:paraId="66C5D374">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废润滑油</w:t>
                  </w:r>
                </w:p>
              </w:tc>
              <w:tc>
                <w:tcPr>
                  <w:tcW w:w="2551" w:type="dxa"/>
                  <w:vMerge w:val="continue"/>
                  <w:shd w:val="solid" w:color="E2EFD9" w:fill="auto"/>
                  <w:vAlign w:val="center"/>
                </w:tcPr>
                <w:p w14:paraId="78A5D333"/>
              </w:tc>
              <w:tc>
                <w:tcPr>
                  <w:tcW w:w="2835" w:type="dxa"/>
                  <w:shd w:val="solid" w:color="E2EFD9" w:fill="auto"/>
                  <w:vAlign w:val="center"/>
                </w:tcPr>
                <w:p w14:paraId="473515D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900-217-08</w:t>
                  </w:r>
                </w:p>
              </w:tc>
            </w:tr>
            <w:tr w14:paraId="03ACC56F">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74F65609"/>
              </w:tc>
              <w:tc>
                <w:tcPr>
                  <w:tcW w:w="2898" w:type="dxa"/>
                  <w:vAlign w:val="center"/>
                </w:tcPr>
                <w:p w14:paraId="165E42D0">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废润滑油</w:t>
                  </w:r>
                </w:p>
              </w:tc>
              <w:tc>
                <w:tcPr>
                  <w:tcW w:w="2551" w:type="dxa"/>
                  <w:vMerge w:val="continue"/>
                  <w:shd w:val="solid" w:color="E2EFD9" w:fill="auto"/>
                  <w:vAlign w:val="center"/>
                </w:tcPr>
                <w:p w14:paraId="741F53E4"/>
              </w:tc>
              <w:tc>
                <w:tcPr>
                  <w:tcW w:w="2835" w:type="dxa"/>
                  <w:vAlign w:val="center"/>
                </w:tcPr>
                <w:p w14:paraId="5DAFD89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900-214-08</w:t>
                  </w:r>
                </w:p>
              </w:tc>
            </w:tr>
            <w:tr w14:paraId="3A9B3066">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15" w:hRule="atLeast"/>
              </w:trPr>
              <w:tc>
                <w:tcPr>
                  <w:tcW w:w="961" w:type="dxa"/>
                  <w:vMerge w:val="restart"/>
                  <w:shd w:val="solid" w:color="E2EFD9" w:fill="auto"/>
                  <w:vAlign w:val="center"/>
                </w:tcPr>
                <w:p w14:paraId="79D661B2">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3</w:t>
                  </w:r>
                </w:p>
              </w:tc>
              <w:tc>
                <w:tcPr>
                  <w:tcW w:w="2898" w:type="dxa"/>
                  <w:vMerge w:val="restart"/>
                  <w:shd w:val="solid" w:color="E2EFD9" w:fill="auto"/>
                  <w:vAlign w:val="center"/>
                </w:tcPr>
                <w:p w14:paraId="31766AF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精馏残液</w:t>
                  </w:r>
                </w:p>
              </w:tc>
              <w:tc>
                <w:tcPr>
                  <w:tcW w:w="2551" w:type="dxa"/>
                  <w:vMerge w:val="restart"/>
                  <w:shd w:val="solid" w:color="E2EFD9" w:fill="auto"/>
                  <w:vAlign w:val="center"/>
                </w:tcPr>
                <w:p w14:paraId="1647476C">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HW11</w:t>
                  </w:r>
                </w:p>
              </w:tc>
              <w:tc>
                <w:tcPr>
                  <w:tcW w:w="2835" w:type="dxa"/>
                  <w:shd w:val="solid" w:color="E2EFD9" w:fill="auto"/>
                  <w:vAlign w:val="center"/>
                </w:tcPr>
                <w:p w14:paraId="237D492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900-013-11</w:t>
                  </w:r>
                </w:p>
              </w:tc>
            </w:tr>
            <w:tr w14:paraId="25991CA7">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4D0DD337"/>
              </w:tc>
              <w:tc>
                <w:tcPr>
                  <w:tcW w:w="2898" w:type="dxa"/>
                  <w:vMerge w:val="continue"/>
                  <w:vAlign w:val="center"/>
                </w:tcPr>
                <w:p w14:paraId="1F7A5F26"/>
              </w:tc>
              <w:tc>
                <w:tcPr>
                  <w:tcW w:w="2551" w:type="dxa"/>
                  <w:vMerge w:val="continue"/>
                  <w:shd w:val="solid" w:color="E2EFD9" w:fill="auto"/>
                  <w:vAlign w:val="center"/>
                </w:tcPr>
                <w:p w14:paraId="031A108A"/>
              </w:tc>
              <w:tc>
                <w:tcPr>
                  <w:tcW w:w="2835" w:type="dxa"/>
                  <w:vAlign w:val="center"/>
                </w:tcPr>
                <w:p w14:paraId="15006C3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261-018-11</w:t>
                  </w:r>
                </w:p>
              </w:tc>
            </w:tr>
            <w:tr w14:paraId="0B9078D2">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5" w:hRule="atLeast"/>
              </w:trPr>
              <w:tc>
                <w:tcPr>
                  <w:tcW w:w="961" w:type="dxa"/>
                  <w:vMerge w:val="continue"/>
                  <w:shd w:val="solid" w:color="E2EFD9" w:fill="auto"/>
                  <w:vAlign w:val="center"/>
                </w:tcPr>
                <w:p w14:paraId="0AC4AB88"/>
              </w:tc>
              <w:tc>
                <w:tcPr>
                  <w:tcW w:w="2898" w:type="dxa"/>
                  <w:vMerge w:val="continue"/>
                  <w:shd w:val="solid" w:color="E2EFD9" w:fill="auto"/>
                  <w:vAlign w:val="center"/>
                </w:tcPr>
                <w:p w14:paraId="12F7E519"/>
              </w:tc>
              <w:tc>
                <w:tcPr>
                  <w:tcW w:w="2551" w:type="dxa"/>
                  <w:vMerge w:val="continue"/>
                  <w:shd w:val="solid" w:color="E2EFD9" w:fill="auto"/>
                  <w:vAlign w:val="center"/>
                </w:tcPr>
                <w:p w14:paraId="567106CF"/>
              </w:tc>
              <w:tc>
                <w:tcPr>
                  <w:tcW w:w="2835" w:type="dxa"/>
                  <w:shd w:val="solid" w:color="E2EFD9" w:fill="auto"/>
                  <w:vAlign w:val="center"/>
                </w:tcPr>
                <w:p w14:paraId="162D2BE4">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261-030-11</w:t>
                  </w:r>
                </w:p>
              </w:tc>
            </w:tr>
            <w:tr w14:paraId="0F8B01DA">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61" w:hRule="atLeast"/>
              </w:trPr>
              <w:tc>
                <w:tcPr>
                  <w:tcW w:w="961" w:type="dxa"/>
                  <w:vMerge w:val="restart"/>
                  <w:shd w:val="solid" w:color="E2EFD9" w:fill="auto"/>
                  <w:vAlign w:val="center"/>
                </w:tcPr>
                <w:p w14:paraId="5234B623">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4</w:t>
                  </w:r>
                </w:p>
              </w:tc>
              <w:tc>
                <w:tcPr>
                  <w:tcW w:w="2898" w:type="dxa"/>
                  <w:vAlign w:val="center"/>
                </w:tcPr>
                <w:p w14:paraId="0819C2B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乳液废渣、重油、低聚物</w:t>
                  </w:r>
                </w:p>
              </w:tc>
              <w:tc>
                <w:tcPr>
                  <w:tcW w:w="2551" w:type="dxa"/>
                  <w:vMerge w:val="restart"/>
                  <w:shd w:val="solid" w:color="E2EFD9" w:fill="auto"/>
                  <w:vAlign w:val="center"/>
                </w:tcPr>
                <w:p w14:paraId="78AC437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HW13</w:t>
                  </w:r>
                </w:p>
              </w:tc>
              <w:tc>
                <w:tcPr>
                  <w:tcW w:w="2835" w:type="dxa"/>
                  <w:vAlign w:val="center"/>
                </w:tcPr>
                <w:p w14:paraId="58D988D0">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265-103-13</w:t>
                  </w:r>
                </w:p>
              </w:tc>
            </w:tr>
            <w:tr w14:paraId="705E385F">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26BB35A8"/>
              </w:tc>
              <w:tc>
                <w:tcPr>
                  <w:tcW w:w="2898" w:type="dxa"/>
                  <w:shd w:val="solid" w:color="E2EFD9" w:fill="auto"/>
                  <w:vAlign w:val="center"/>
                </w:tcPr>
                <w:p w14:paraId="7317C607">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废离子交树脂</w:t>
                  </w:r>
                </w:p>
              </w:tc>
              <w:tc>
                <w:tcPr>
                  <w:tcW w:w="2551" w:type="dxa"/>
                  <w:vMerge w:val="continue"/>
                  <w:shd w:val="solid" w:color="E2EFD9" w:fill="auto"/>
                  <w:vAlign w:val="center"/>
                </w:tcPr>
                <w:p w14:paraId="72F41CF1"/>
              </w:tc>
              <w:tc>
                <w:tcPr>
                  <w:tcW w:w="2835" w:type="dxa"/>
                  <w:shd w:val="solid" w:color="E2EFD9" w:fill="auto"/>
                  <w:vAlign w:val="center"/>
                </w:tcPr>
                <w:p w14:paraId="7BCBA963">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900-015-13</w:t>
                  </w:r>
                </w:p>
              </w:tc>
            </w:tr>
            <w:tr w14:paraId="30BB9237">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23" w:hRule="atLeast"/>
              </w:trPr>
              <w:tc>
                <w:tcPr>
                  <w:tcW w:w="961" w:type="dxa"/>
                  <w:shd w:val="solid" w:color="E2EFD9" w:fill="auto"/>
                  <w:vAlign w:val="center"/>
                </w:tcPr>
                <w:p w14:paraId="38E71BC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5</w:t>
                  </w:r>
                </w:p>
              </w:tc>
              <w:tc>
                <w:tcPr>
                  <w:tcW w:w="2898" w:type="dxa"/>
                  <w:vAlign w:val="center"/>
                </w:tcPr>
                <w:p w14:paraId="3F0BAF1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定、显影液</w:t>
                  </w:r>
                </w:p>
              </w:tc>
              <w:tc>
                <w:tcPr>
                  <w:tcW w:w="2551" w:type="dxa"/>
                  <w:shd w:val="solid" w:color="E2EFD9" w:fill="auto"/>
                  <w:vAlign w:val="center"/>
                </w:tcPr>
                <w:p w14:paraId="3BFC4BE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HW16</w:t>
                  </w:r>
                </w:p>
              </w:tc>
              <w:tc>
                <w:tcPr>
                  <w:tcW w:w="2835" w:type="dxa"/>
                  <w:vAlign w:val="center"/>
                </w:tcPr>
                <w:p w14:paraId="5D54BB9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900-019-16</w:t>
                  </w:r>
                </w:p>
              </w:tc>
            </w:tr>
            <w:tr w14:paraId="67D3CE45">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01" w:hRule="atLeast"/>
              </w:trPr>
              <w:tc>
                <w:tcPr>
                  <w:tcW w:w="961" w:type="dxa"/>
                  <w:vMerge w:val="restart"/>
                  <w:shd w:val="solid" w:color="E2EFD9" w:fill="auto"/>
                  <w:vAlign w:val="center"/>
                </w:tcPr>
                <w:p w14:paraId="28091D2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6</w:t>
                  </w:r>
                </w:p>
              </w:tc>
              <w:tc>
                <w:tcPr>
                  <w:tcW w:w="2898" w:type="dxa"/>
                  <w:shd w:val="solid" w:color="E2EFD9" w:fill="auto"/>
                  <w:vAlign w:val="center"/>
                </w:tcPr>
                <w:p w14:paraId="34EA3EA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酸洗废液</w:t>
                  </w:r>
                </w:p>
              </w:tc>
              <w:tc>
                <w:tcPr>
                  <w:tcW w:w="2551" w:type="dxa"/>
                  <w:vMerge w:val="restart"/>
                  <w:shd w:val="solid" w:color="E2EFD9" w:fill="auto"/>
                  <w:vAlign w:val="center"/>
                </w:tcPr>
                <w:p w14:paraId="001EC98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HW17</w:t>
                  </w:r>
                </w:p>
              </w:tc>
              <w:tc>
                <w:tcPr>
                  <w:tcW w:w="2835" w:type="dxa"/>
                  <w:shd w:val="solid" w:color="E2EFD9" w:fill="auto"/>
                  <w:vAlign w:val="center"/>
                </w:tcPr>
                <w:p w14:paraId="57349C48">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336-064-17</w:t>
                  </w:r>
                </w:p>
              </w:tc>
            </w:tr>
            <w:tr w14:paraId="0BAD97EA">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01" w:hRule="atLeast"/>
              </w:trPr>
              <w:tc>
                <w:tcPr>
                  <w:tcW w:w="961" w:type="dxa"/>
                  <w:vMerge w:val="continue"/>
                  <w:shd w:val="solid" w:color="E2EFD9" w:fill="auto"/>
                  <w:vAlign w:val="center"/>
                </w:tcPr>
                <w:p w14:paraId="62D26A23"/>
              </w:tc>
              <w:tc>
                <w:tcPr>
                  <w:tcW w:w="2898" w:type="dxa"/>
                  <w:vAlign w:val="center"/>
                </w:tcPr>
                <w:p w14:paraId="6318DEF2">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铬矿渣</w:t>
                  </w:r>
                </w:p>
              </w:tc>
              <w:tc>
                <w:tcPr>
                  <w:tcW w:w="2551" w:type="dxa"/>
                  <w:vMerge w:val="continue"/>
                  <w:shd w:val="solid" w:color="E2EFD9" w:fill="auto"/>
                  <w:vAlign w:val="center"/>
                </w:tcPr>
                <w:p w14:paraId="05807F9A"/>
              </w:tc>
              <w:tc>
                <w:tcPr>
                  <w:tcW w:w="2835" w:type="dxa"/>
                  <w:vAlign w:val="center"/>
                </w:tcPr>
                <w:p w14:paraId="488A4DD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336-068-17</w:t>
                  </w:r>
                </w:p>
              </w:tc>
            </w:tr>
            <w:tr w14:paraId="38CC7516">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5" w:hRule="atLeast"/>
              </w:trPr>
              <w:tc>
                <w:tcPr>
                  <w:tcW w:w="961" w:type="dxa"/>
                  <w:shd w:val="solid" w:color="E2EFD9" w:fill="auto"/>
                  <w:vAlign w:val="center"/>
                </w:tcPr>
                <w:p w14:paraId="4B50859C">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7</w:t>
                  </w:r>
                </w:p>
              </w:tc>
              <w:tc>
                <w:tcPr>
                  <w:tcW w:w="2898" w:type="dxa"/>
                  <w:shd w:val="solid" w:color="E2EFD9" w:fill="auto"/>
                  <w:vAlign w:val="center"/>
                </w:tcPr>
                <w:p w14:paraId="03A743BA">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炉渣和飞灰</w:t>
                  </w:r>
                </w:p>
              </w:tc>
              <w:tc>
                <w:tcPr>
                  <w:tcW w:w="2551" w:type="dxa"/>
                  <w:shd w:val="solid" w:color="E2EFD9" w:fill="auto"/>
                  <w:vAlign w:val="center"/>
                </w:tcPr>
                <w:p w14:paraId="7AED2448">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HW18</w:t>
                  </w:r>
                </w:p>
              </w:tc>
              <w:tc>
                <w:tcPr>
                  <w:tcW w:w="2835" w:type="dxa"/>
                  <w:shd w:val="solid" w:color="E2EFD9" w:fill="auto"/>
                  <w:vAlign w:val="center"/>
                </w:tcPr>
                <w:p w14:paraId="31EBBD1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772-003-18</w:t>
                  </w:r>
                </w:p>
              </w:tc>
            </w:tr>
            <w:tr w14:paraId="16BCC44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1" w:hRule="atLeast"/>
              </w:trPr>
              <w:tc>
                <w:tcPr>
                  <w:tcW w:w="961" w:type="dxa"/>
                  <w:shd w:val="solid" w:color="E2EFD9" w:fill="auto"/>
                  <w:vAlign w:val="center"/>
                </w:tcPr>
                <w:p w14:paraId="492A8DFE">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8</w:t>
                  </w:r>
                </w:p>
              </w:tc>
              <w:tc>
                <w:tcPr>
                  <w:tcW w:w="2898" w:type="dxa"/>
                  <w:vAlign w:val="center"/>
                </w:tcPr>
                <w:p w14:paraId="429AD773">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含金属羟基化合物废物</w:t>
                  </w:r>
                </w:p>
              </w:tc>
              <w:tc>
                <w:tcPr>
                  <w:tcW w:w="2551" w:type="dxa"/>
                  <w:shd w:val="solid" w:color="E2EFD9" w:fill="auto"/>
                  <w:vAlign w:val="center"/>
                </w:tcPr>
                <w:p w14:paraId="35126756">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HW19</w:t>
                  </w:r>
                </w:p>
              </w:tc>
              <w:tc>
                <w:tcPr>
                  <w:tcW w:w="2835" w:type="dxa"/>
                  <w:vAlign w:val="center"/>
                </w:tcPr>
                <w:p w14:paraId="7FBBA167">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900-020-19</w:t>
                  </w:r>
                </w:p>
              </w:tc>
            </w:tr>
            <w:tr w14:paraId="2D238380">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4" w:hRule="atLeast"/>
              </w:trPr>
              <w:tc>
                <w:tcPr>
                  <w:tcW w:w="961" w:type="dxa"/>
                  <w:shd w:val="solid" w:color="E2EFD9" w:fill="auto"/>
                  <w:vAlign w:val="center"/>
                </w:tcPr>
                <w:p w14:paraId="4C403535">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w:t>
                  </w:r>
                </w:p>
              </w:tc>
              <w:tc>
                <w:tcPr>
                  <w:tcW w:w="2898" w:type="dxa"/>
                  <w:shd w:val="solid" w:color="E2EFD9" w:fill="auto"/>
                  <w:vAlign w:val="center"/>
                </w:tcPr>
                <w:p w14:paraId="64BA6A00">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铬矿渣</w:t>
                  </w:r>
                </w:p>
              </w:tc>
              <w:tc>
                <w:tcPr>
                  <w:tcW w:w="2551" w:type="dxa"/>
                  <w:shd w:val="solid" w:color="E2EFD9" w:fill="auto"/>
                  <w:vAlign w:val="center"/>
                </w:tcPr>
                <w:p w14:paraId="07F9712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HW21</w:t>
                  </w:r>
                </w:p>
              </w:tc>
              <w:tc>
                <w:tcPr>
                  <w:tcW w:w="2835" w:type="dxa"/>
                  <w:shd w:val="solid" w:color="E2EFD9" w:fill="auto"/>
                  <w:vAlign w:val="center"/>
                </w:tcPr>
                <w:p w14:paraId="0F8A30F4">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336-100-21</w:t>
                  </w:r>
                </w:p>
              </w:tc>
            </w:tr>
            <w:tr w14:paraId="0B62756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09" w:hRule="atLeast"/>
              </w:trPr>
              <w:tc>
                <w:tcPr>
                  <w:tcW w:w="961" w:type="dxa"/>
                  <w:vMerge w:val="restart"/>
                  <w:shd w:val="solid" w:color="E2EFD9" w:fill="auto"/>
                  <w:vAlign w:val="center"/>
                </w:tcPr>
                <w:p w14:paraId="58301C6F">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10</w:t>
                  </w:r>
                </w:p>
              </w:tc>
              <w:tc>
                <w:tcPr>
                  <w:tcW w:w="2898" w:type="dxa"/>
                  <w:vAlign w:val="center"/>
                </w:tcPr>
                <w:p w14:paraId="2A194980">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废酸液</w:t>
                  </w:r>
                </w:p>
              </w:tc>
              <w:tc>
                <w:tcPr>
                  <w:tcW w:w="2551" w:type="dxa"/>
                  <w:vMerge w:val="restart"/>
                  <w:shd w:val="solid" w:color="E2EFD9" w:fill="auto"/>
                  <w:vAlign w:val="center"/>
                </w:tcPr>
                <w:p w14:paraId="241322B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HW34</w:t>
                  </w:r>
                </w:p>
              </w:tc>
              <w:tc>
                <w:tcPr>
                  <w:tcW w:w="2835" w:type="dxa"/>
                  <w:vAlign w:val="center"/>
                </w:tcPr>
                <w:p w14:paraId="59B3FEC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900-349-34</w:t>
                  </w:r>
                </w:p>
              </w:tc>
            </w:tr>
            <w:tr w14:paraId="578829BD">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29" w:hRule="atLeast"/>
              </w:trPr>
              <w:tc>
                <w:tcPr>
                  <w:tcW w:w="961" w:type="dxa"/>
                  <w:vMerge w:val="continue"/>
                  <w:shd w:val="solid" w:color="E2EFD9" w:fill="auto"/>
                  <w:vAlign w:val="center"/>
                </w:tcPr>
                <w:p w14:paraId="4AA3518C"/>
              </w:tc>
              <w:tc>
                <w:tcPr>
                  <w:tcW w:w="2898" w:type="dxa"/>
                  <w:shd w:val="solid" w:color="E2EFD9" w:fill="auto"/>
                  <w:vAlign w:val="center"/>
                </w:tcPr>
                <w:p w14:paraId="23E0D2F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废硝酸</w:t>
                  </w:r>
                </w:p>
              </w:tc>
              <w:tc>
                <w:tcPr>
                  <w:tcW w:w="2551" w:type="dxa"/>
                  <w:vMerge w:val="continue"/>
                  <w:shd w:val="solid" w:color="E2EFD9" w:fill="auto"/>
                  <w:vAlign w:val="center"/>
                </w:tcPr>
                <w:p w14:paraId="13BAA07C"/>
              </w:tc>
              <w:tc>
                <w:tcPr>
                  <w:tcW w:w="2835" w:type="dxa"/>
                  <w:shd w:val="solid" w:color="E2EFD9" w:fill="auto"/>
                  <w:vAlign w:val="center"/>
                </w:tcPr>
                <w:p w14:paraId="0BA37A55">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900-300-34</w:t>
                  </w:r>
                </w:p>
              </w:tc>
            </w:tr>
            <w:tr w14:paraId="59CF3F41">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16AF2990"/>
              </w:tc>
              <w:tc>
                <w:tcPr>
                  <w:tcW w:w="2898" w:type="dxa"/>
                  <w:vAlign w:val="center"/>
                </w:tcPr>
                <w:p w14:paraId="4E6DE5D2">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无机液</w:t>
                  </w:r>
                </w:p>
              </w:tc>
              <w:tc>
                <w:tcPr>
                  <w:tcW w:w="2551" w:type="dxa"/>
                  <w:vMerge w:val="continue"/>
                  <w:shd w:val="solid" w:color="E2EFD9" w:fill="auto"/>
                  <w:vAlign w:val="center"/>
                </w:tcPr>
                <w:p w14:paraId="2AFCAE65"/>
              </w:tc>
              <w:tc>
                <w:tcPr>
                  <w:tcW w:w="2835" w:type="dxa"/>
                  <w:vAlign w:val="center"/>
                </w:tcPr>
                <w:p w14:paraId="7E307687">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261-057-34</w:t>
                  </w:r>
                </w:p>
              </w:tc>
            </w:tr>
            <w:tr w14:paraId="27817A8D">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shd w:val="solid" w:color="E2EFD9" w:fill="auto"/>
                  <w:vAlign w:val="center"/>
                </w:tcPr>
                <w:p w14:paraId="5E588C52">
                  <w:pPr>
                    <w:spacing w:line="240" w:lineRule="exact"/>
                    <w:contextualSpacing/>
                    <w:jc w:val="center"/>
                    <w:rPr>
                      <w:rFonts w:ascii="宋体" w:eastAsia="宋体" w:cs="宋体"/>
                      <w:color w:val="000000"/>
                      <w:kern w:val="0"/>
                      <w:szCs w:val="21"/>
                      <w:highlight w:val="none"/>
                      <w:lang w:val="en-US" w:eastAsia="zh-CN"/>
                    </w:rPr>
                  </w:pPr>
                  <w:r>
                    <w:rPr>
                      <w:rFonts w:hint="eastAsia" w:ascii="宋体" w:eastAsia="宋体" w:cs="宋体"/>
                      <w:color w:val="000000"/>
                      <w:kern w:val="0"/>
                      <w:szCs w:val="21"/>
                      <w:highlight w:val="none"/>
                      <w:lang w:val="en-US" w:eastAsia="zh-CN"/>
                    </w:rPr>
                    <w:t>11</w:t>
                  </w:r>
                </w:p>
              </w:tc>
              <w:tc>
                <w:tcPr>
                  <w:tcW w:w="2898" w:type="dxa"/>
                  <w:shd w:val="solid" w:color="E2EFD9" w:fill="auto"/>
                  <w:vAlign w:val="center"/>
                </w:tcPr>
                <w:p w14:paraId="525658F7">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lang w:val="en-US" w:eastAsia="zh-CN"/>
                    </w:rPr>
                    <w:t>废石棉</w:t>
                  </w:r>
                </w:p>
              </w:tc>
              <w:tc>
                <w:tcPr>
                  <w:tcW w:w="2551" w:type="dxa"/>
                  <w:shd w:val="solid" w:color="E2EFD9" w:fill="auto"/>
                  <w:vAlign w:val="center"/>
                </w:tcPr>
                <w:p w14:paraId="4168CE9C">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lang w:val="en-US" w:eastAsia="zh-CN"/>
                    </w:rPr>
                    <w:t>HW36</w:t>
                  </w:r>
                </w:p>
              </w:tc>
              <w:tc>
                <w:tcPr>
                  <w:tcW w:w="2835" w:type="dxa"/>
                  <w:shd w:val="solid" w:color="E2EFD9" w:fill="auto"/>
                  <w:vAlign w:val="center"/>
                </w:tcPr>
                <w:p w14:paraId="4F9885EF">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lang w:val="en-US" w:eastAsia="zh-CN"/>
                    </w:rPr>
                    <w:t>900-032-36</w:t>
                  </w:r>
                </w:p>
              </w:tc>
            </w:tr>
            <w:tr w14:paraId="19F6FB70">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shd w:val="solid" w:color="E2EFD9" w:fill="auto"/>
                  <w:vAlign w:val="center"/>
                </w:tcPr>
                <w:p w14:paraId="00D8BE84">
                  <w:pPr>
                    <w:spacing w:line="240" w:lineRule="exact"/>
                    <w:contextualSpacing/>
                    <w:jc w:val="center"/>
                    <w:rPr>
                      <w:rFonts w:ascii="宋体" w:eastAsia="宋体" w:cs="宋体"/>
                      <w:color w:val="000000"/>
                      <w:kern w:val="0"/>
                      <w:szCs w:val="21"/>
                      <w:highlight w:val="none"/>
                      <w:lang w:val="en-US" w:eastAsia="zh-CN"/>
                    </w:rPr>
                  </w:pPr>
                  <w:r>
                    <w:rPr>
                      <w:rFonts w:ascii="宋体" w:eastAsia="宋体" w:cs="宋体"/>
                      <w:color w:val="000000"/>
                      <w:kern w:val="0"/>
                      <w:szCs w:val="21"/>
                      <w:highlight w:val="none"/>
                      <w:lang w:val="en-US" w:eastAsia="zh-CN"/>
                    </w:rPr>
                    <w:t>12</w:t>
                  </w:r>
                </w:p>
              </w:tc>
              <w:tc>
                <w:tcPr>
                  <w:tcW w:w="2898" w:type="dxa"/>
                  <w:vAlign w:val="center"/>
                </w:tcPr>
                <w:p w14:paraId="3C08AD45">
                  <w:pPr>
                    <w:spacing w:line="240" w:lineRule="exact"/>
                    <w:contextualSpacing/>
                    <w:jc w:val="center"/>
                    <w:rPr>
                      <w:rFonts w:ascii="宋体" w:eastAsia="宋体" w:cs="宋体"/>
                      <w:color w:val="000000"/>
                      <w:kern w:val="0"/>
                      <w:szCs w:val="21"/>
                      <w:highlight w:val="none"/>
                      <w:lang w:val="en-US" w:eastAsia="zh-CN"/>
                    </w:rPr>
                  </w:pPr>
                  <w:r>
                    <w:rPr>
                      <w:rFonts w:ascii="宋体" w:eastAsia="宋体" w:cs="宋体"/>
                      <w:color w:val="000000"/>
                      <w:kern w:val="0"/>
                      <w:szCs w:val="21"/>
                      <w:lang w:val="en-US" w:eastAsia="zh-CN"/>
                    </w:rPr>
                    <w:t xml:space="preserve">脚料   </w:t>
                  </w:r>
                </w:p>
              </w:tc>
              <w:tc>
                <w:tcPr>
                  <w:tcW w:w="2551" w:type="dxa"/>
                  <w:shd w:val="solid" w:color="E2EFD9" w:fill="auto"/>
                  <w:vAlign w:val="center"/>
                </w:tcPr>
                <w:p w14:paraId="714EC9BC">
                  <w:pPr>
                    <w:spacing w:line="240" w:lineRule="exact"/>
                    <w:contextualSpacing/>
                    <w:jc w:val="center"/>
                    <w:rPr>
                      <w:rFonts w:ascii="宋体" w:eastAsia="宋体" w:cs="宋体"/>
                      <w:color w:val="000000"/>
                      <w:kern w:val="0"/>
                      <w:szCs w:val="21"/>
                      <w:highlight w:val="none"/>
                      <w:lang w:val="en-US" w:eastAsia="zh-CN"/>
                    </w:rPr>
                  </w:pPr>
                  <w:r>
                    <w:rPr>
                      <w:rFonts w:ascii="宋体" w:eastAsia="宋体" w:cs="宋体"/>
                      <w:color w:val="000000"/>
                      <w:kern w:val="0"/>
                      <w:szCs w:val="21"/>
                      <w:lang w:val="en-US" w:eastAsia="zh-CN"/>
                    </w:rPr>
                    <w:t>HW40</w:t>
                  </w:r>
                </w:p>
              </w:tc>
              <w:tc>
                <w:tcPr>
                  <w:tcW w:w="2835" w:type="dxa"/>
                  <w:vAlign w:val="center"/>
                </w:tcPr>
                <w:p w14:paraId="13BCDABC">
                  <w:pPr>
                    <w:spacing w:line="240" w:lineRule="exact"/>
                    <w:contextualSpacing/>
                    <w:jc w:val="center"/>
                    <w:rPr>
                      <w:rFonts w:ascii="宋体" w:eastAsia="宋体" w:cs="宋体"/>
                      <w:color w:val="000000"/>
                      <w:kern w:val="0"/>
                      <w:szCs w:val="21"/>
                      <w:highlight w:val="none"/>
                      <w:lang w:val="en-US" w:eastAsia="zh-CN"/>
                    </w:rPr>
                  </w:pPr>
                  <w:r>
                    <w:rPr>
                      <w:rFonts w:ascii="宋体" w:eastAsia="宋体" w:cs="宋体"/>
                      <w:color w:val="000000"/>
                      <w:kern w:val="0"/>
                      <w:szCs w:val="21"/>
                      <w:lang w:val="en-US" w:eastAsia="zh-CN"/>
                    </w:rPr>
                    <w:t>261-072-40</w:t>
                  </w:r>
                </w:p>
              </w:tc>
            </w:tr>
            <w:tr w14:paraId="1E5A6968">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13" w:hRule="atLeast"/>
              </w:trPr>
              <w:tc>
                <w:tcPr>
                  <w:tcW w:w="961" w:type="dxa"/>
                  <w:vMerge w:val="restart"/>
                  <w:shd w:val="solid" w:color="E2EFD9" w:fill="auto"/>
                  <w:vAlign w:val="center"/>
                </w:tcPr>
                <w:p w14:paraId="39A93D1C">
                  <w:pPr>
                    <w:spacing w:line="240" w:lineRule="exact"/>
                    <w:contextualSpacing/>
                    <w:jc w:val="center"/>
                    <w:rPr>
                      <w:rFonts w:ascii="宋体" w:eastAsia="宋体" w:cs="宋体"/>
                      <w:color w:val="000000"/>
                      <w:kern w:val="0"/>
                      <w:szCs w:val="21"/>
                      <w:highlight w:val="none"/>
                      <w:lang w:val="en-US" w:eastAsia="zh-CN"/>
                    </w:rPr>
                  </w:pPr>
                  <w:r>
                    <w:rPr>
                      <w:rFonts w:hint="eastAsia" w:ascii="宋体" w:cs="宋体"/>
                      <w:color w:val="000000"/>
                      <w:kern w:val="0"/>
                      <w:szCs w:val="21"/>
                      <w:highlight w:val="none"/>
                      <w:lang w:val="en-US" w:eastAsia="zh-CN"/>
                    </w:rPr>
                    <w:t>1</w:t>
                  </w:r>
                  <w:r>
                    <w:rPr>
                      <w:rFonts w:ascii="宋体" w:cs="宋体"/>
                      <w:color w:val="000000"/>
                      <w:kern w:val="0"/>
                      <w:szCs w:val="21"/>
                      <w:highlight w:val="none"/>
                      <w:lang w:val="en-US" w:eastAsia="zh-CN"/>
                    </w:rPr>
                    <w:t>3</w:t>
                  </w:r>
                </w:p>
              </w:tc>
              <w:tc>
                <w:tcPr>
                  <w:tcW w:w="2898" w:type="dxa"/>
                  <w:shd w:val="solid" w:color="E2EFD9" w:fill="auto"/>
                  <w:vAlign w:val="center"/>
                </w:tcPr>
                <w:p w14:paraId="16E9852A">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有机氯污泥、污泥、废盐</w:t>
                  </w:r>
                </w:p>
              </w:tc>
              <w:tc>
                <w:tcPr>
                  <w:tcW w:w="2551" w:type="dxa"/>
                  <w:vMerge w:val="restart"/>
                  <w:shd w:val="solid" w:color="E2EFD9" w:fill="auto"/>
                  <w:vAlign w:val="center"/>
                </w:tcPr>
                <w:p w14:paraId="52507FD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HW45</w:t>
                  </w:r>
                </w:p>
              </w:tc>
              <w:tc>
                <w:tcPr>
                  <w:tcW w:w="2835" w:type="dxa"/>
                  <w:vMerge w:val="restart"/>
                  <w:shd w:val="solid" w:color="E2EFD9" w:fill="auto"/>
                  <w:vAlign w:val="center"/>
                </w:tcPr>
                <w:p w14:paraId="5CD67E18">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261-084-45</w:t>
                  </w:r>
                </w:p>
              </w:tc>
            </w:tr>
            <w:tr w14:paraId="32CDFD63">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392607CB"/>
              </w:tc>
              <w:tc>
                <w:tcPr>
                  <w:tcW w:w="2898" w:type="dxa"/>
                  <w:vAlign w:val="center"/>
                </w:tcPr>
                <w:p w14:paraId="7837468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废催化剂</w:t>
                  </w:r>
                </w:p>
              </w:tc>
              <w:tc>
                <w:tcPr>
                  <w:tcW w:w="2551" w:type="dxa"/>
                  <w:vMerge w:val="continue"/>
                  <w:shd w:val="solid" w:color="E2EFD9" w:fill="auto"/>
                  <w:vAlign w:val="center"/>
                </w:tcPr>
                <w:p w14:paraId="004B5937"/>
              </w:tc>
              <w:tc>
                <w:tcPr>
                  <w:tcW w:w="2835" w:type="dxa"/>
                  <w:vMerge w:val="continue"/>
                  <w:vAlign w:val="center"/>
                </w:tcPr>
                <w:p w14:paraId="7DC70E0F"/>
              </w:tc>
            </w:tr>
            <w:tr w14:paraId="3F2A8FE7">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724770FA"/>
              </w:tc>
              <w:tc>
                <w:tcPr>
                  <w:tcW w:w="2898" w:type="dxa"/>
                  <w:shd w:val="solid" w:color="E2EFD9" w:fill="auto"/>
                  <w:vAlign w:val="center"/>
                </w:tcPr>
                <w:p w14:paraId="0AD080DC">
                  <w:pPr>
                    <w:spacing w:line="240" w:lineRule="exact"/>
                    <w:contextualSpacing/>
                    <w:jc w:val="center"/>
                    <w:rPr>
                      <w:rFonts w:hint="eastAsia" w:ascii="宋体" w:cs="宋体"/>
                      <w:color w:val="000000"/>
                      <w:kern w:val="0"/>
                      <w:szCs w:val="21"/>
                      <w:highlight w:val="none"/>
                    </w:rPr>
                  </w:pPr>
                  <w:r>
                    <w:rPr>
                      <w:rFonts w:hint="eastAsia" w:ascii="宋体" w:cs="宋体"/>
                      <w:color w:val="000000"/>
                      <w:kern w:val="0"/>
                      <w:szCs w:val="21"/>
                      <w:highlight w:val="none"/>
                    </w:rPr>
                    <w:t>裂解低聚物</w:t>
                  </w:r>
                </w:p>
              </w:tc>
              <w:tc>
                <w:tcPr>
                  <w:tcW w:w="2551" w:type="dxa"/>
                  <w:vMerge w:val="continue"/>
                  <w:shd w:val="solid" w:color="E2EFD9" w:fill="auto"/>
                  <w:vAlign w:val="center"/>
                </w:tcPr>
                <w:p w14:paraId="327C400D"/>
              </w:tc>
              <w:tc>
                <w:tcPr>
                  <w:tcW w:w="2835" w:type="dxa"/>
                  <w:vMerge w:val="continue"/>
                  <w:shd w:val="solid" w:color="E2EFD9" w:fill="auto"/>
                  <w:vAlign w:val="center"/>
                </w:tcPr>
                <w:p w14:paraId="67ACA7D5"/>
              </w:tc>
            </w:tr>
            <w:tr w14:paraId="7DD2B585">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79B2D0EB"/>
              </w:tc>
              <w:tc>
                <w:tcPr>
                  <w:tcW w:w="2898" w:type="dxa"/>
                  <w:vAlign w:val="center"/>
                </w:tcPr>
                <w:p w14:paraId="4ECAD41F">
                  <w:pPr>
                    <w:spacing w:line="240" w:lineRule="exact"/>
                    <w:contextualSpacing/>
                    <w:jc w:val="center"/>
                    <w:rPr>
                      <w:rFonts w:hint="eastAsia" w:ascii="宋体" w:cs="宋体"/>
                      <w:color w:val="000000"/>
                      <w:kern w:val="0"/>
                      <w:szCs w:val="21"/>
                      <w:highlight w:val="none"/>
                    </w:rPr>
                  </w:pPr>
                  <w:r>
                    <w:rPr>
                      <w:rFonts w:hint="eastAsia" w:ascii="宋体" w:cs="宋体"/>
                      <w:color w:val="000000"/>
                      <w:kern w:val="0"/>
                      <w:szCs w:val="21"/>
                      <w:highlight w:val="none"/>
                    </w:rPr>
                    <w:t>电解废渣</w:t>
                  </w:r>
                </w:p>
              </w:tc>
              <w:tc>
                <w:tcPr>
                  <w:tcW w:w="2551" w:type="dxa"/>
                  <w:vMerge w:val="continue"/>
                  <w:shd w:val="solid" w:color="E2EFD9" w:fill="auto"/>
                  <w:vAlign w:val="center"/>
                </w:tcPr>
                <w:p w14:paraId="1555098A"/>
              </w:tc>
              <w:tc>
                <w:tcPr>
                  <w:tcW w:w="2835" w:type="dxa"/>
                  <w:vMerge w:val="continue"/>
                  <w:vAlign w:val="center"/>
                </w:tcPr>
                <w:p w14:paraId="47DB7DE0"/>
              </w:tc>
            </w:tr>
            <w:tr w14:paraId="071EA090">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3C3F1149"/>
              </w:tc>
              <w:tc>
                <w:tcPr>
                  <w:tcW w:w="2898" w:type="dxa"/>
                  <w:shd w:val="solid" w:color="E2EFD9" w:fill="auto"/>
                  <w:vAlign w:val="center"/>
                </w:tcPr>
                <w:p w14:paraId="79E12469">
                  <w:pPr>
                    <w:spacing w:line="240" w:lineRule="exact"/>
                    <w:contextualSpacing/>
                    <w:jc w:val="center"/>
                    <w:rPr>
                      <w:rFonts w:ascii="宋体" w:cs="宋体"/>
                      <w:color w:val="000000"/>
                      <w:kern w:val="0"/>
                      <w:szCs w:val="21"/>
                      <w:highlight w:val="none"/>
                    </w:rPr>
                  </w:pPr>
                  <w:r>
                    <w:rPr>
                      <w:rFonts w:ascii="宋体" w:cs="宋体"/>
                      <w:color w:val="000000"/>
                      <w:kern w:val="0"/>
                      <w:szCs w:val="21"/>
                      <w:highlight w:val="none"/>
                    </w:rPr>
                    <w:t>废</w:t>
                  </w:r>
                  <w:r>
                    <w:rPr>
                      <w:rFonts w:ascii="宋体" w:cs="宋体"/>
                      <w:color w:val="000000"/>
                      <w:kern w:val="0"/>
                      <w:szCs w:val="21"/>
                    </w:rPr>
                    <w:t>四氯化锡</w:t>
                  </w:r>
                </w:p>
              </w:tc>
              <w:tc>
                <w:tcPr>
                  <w:tcW w:w="2551" w:type="dxa"/>
                  <w:vMerge w:val="continue"/>
                  <w:shd w:val="solid" w:color="E2EFD9" w:fill="auto"/>
                  <w:vAlign w:val="center"/>
                </w:tcPr>
                <w:p w14:paraId="0A0D0B44"/>
              </w:tc>
              <w:tc>
                <w:tcPr>
                  <w:tcW w:w="2835" w:type="dxa"/>
                  <w:vMerge w:val="continue"/>
                  <w:shd w:val="solid" w:color="E2EFD9" w:fill="auto"/>
                  <w:vAlign w:val="center"/>
                </w:tcPr>
                <w:p w14:paraId="6BDC6B58"/>
              </w:tc>
            </w:tr>
            <w:tr w14:paraId="157691CA">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71" w:hRule="atLeast"/>
              </w:trPr>
              <w:tc>
                <w:tcPr>
                  <w:tcW w:w="961" w:type="dxa"/>
                  <w:vMerge w:val="continue"/>
                  <w:shd w:val="solid" w:color="E2EFD9" w:fill="auto"/>
                  <w:vAlign w:val="center"/>
                </w:tcPr>
                <w:p w14:paraId="16B94F23"/>
              </w:tc>
              <w:tc>
                <w:tcPr>
                  <w:tcW w:w="2898" w:type="dxa"/>
                  <w:vAlign w:val="center"/>
                </w:tcPr>
                <w:p w14:paraId="5ACD2F18">
                  <w:pPr>
                    <w:spacing w:line="240" w:lineRule="exact"/>
                    <w:contextualSpacing/>
                    <w:jc w:val="center"/>
                    <w:rPr>
                      <w:rFonts w:hint="eastAsia" w:ascii="宋体" w:cs="宋体"/>
                      <w:color w:val="000000"/>
                      <w:kern w:val="0"/>
                      <w:szCs w:val="21"/>
                      <w:highlight w:val="none"/>
                    </w:rPr>
                  </w:pPr>
                  <w:r>
                    <w:rPr>
                      <w:rFonts w:hint="eastAsia" w:ascii="宋体" w:cs="宋体"/>
                      <w:color w:val="000000"/>
                      <w:kern w:val="0"/>
                      <w:szCs w:val="21"/>
                      <w:highlight w:val="none"/>
                    </w:rPr>
                    <w:t>反渗透浓缩物</w:t>
                  </w:r>
                </w:p>
              </w:tc>
              <w:tc>
                <w:tcPr>
                  <w:tcW w:w="2551" w:type="dxa"/>
                  <w:vMerge w:val="continue"/>
                  <w:shd w:val="solid" w:color="E2EFD9" w:fill="auto"/>
                  <w:vAlign w:val="center"/>
                </w:tcPr>
                <w:p w14:paraId="4ACCBE0A"/>
              </w:tc>
              <w:tc>
                <w:tcPr>
                  <w:tcW w:w="2835" w:type="dxa"/>
                  <w:vMerge w:val="continue"/>
                  <w:vAlign w:val="center"/>
                </w:tcPr>
                <w:p w14:paraId="74AA49C8"/>
              </w:tc>
            </w:tr>
            <w:tr w14:paraId="484310DD">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61" w:hRule="atLeast"/>
              </w:trPr>
              <w:tc>
                <w:tcPr>
                  <w:tcW w:w="961" w:type="dxa"/>
                  <w:vMerge w:val="continue"/>
                  <w:shd w:val="solid" w:color="E2EFD9" w:fill="auto"/>
                  <w:vAlign w:val="center"/>
                </w:tcPr>
                <w:p w14:paraId="5E536F22"/>
              </w:tc>
              <w:tc>
                <w:tcPr>
                  <w:tcW w:w="2898" w:type="dxa"/>
                  <w:shd w:val="solid" w:color="E2EFD9" w:fill="auto"/>
                  <w:vAlign w:val="center"/>
                </w:tcPr>
                <w:p w14:paraId="0EA29C24">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皂化残渣</w:t>
                  </w:r>
                </w:p>
              </w:tc>
              <w:tc>
                <w:tcPr>
                  <w:tcW w:w="2551" w:type="dxa"/>
                  <w:vMerge w:val="continue"/>
                  <w:shd w:val="solid" w:color="E2EFD9" w:fill="auto"/>
                  <w:vAlign w:val="center"/>
                </w:tcPr>
                <w:p w14:paraId="78967D6F"/>
              </w:tc>
              <w:tc>
                <w:tcPr>
                  <w:tcW w:w="2835" w:type="dxa"/>
                  <w:vMerge w:val="continue"/>
                  <w:shd w:val="solid" w:color="E2EFD9" w:fill="auto"/>
                  <w:vAlign w:val="center"/>
                </w:tcPr>
                <w:p w14:paraId="725A874E"/>
              </w:tc>
            </w:tr>
            <w:tr w14:paraId="795C9218">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7" w:hRule="atLeast"/>
              </w:trPr>
              <w:tc>
                <w:tcPr>
                  <w:tcW w:w="961" w:type="dxa"/>
                  <w:vMerge w:val="continue"/>
                  <w:shd w:val="solid" w:color="E2EFD9" w:fill="auto"/>
                  <w:vAlign w:val="center"/>
                </w:tcPr>
                <w:p w14:paraId="00D830B1"/>
              </w:tc>
              <w:tc>
                <w:tcPr>
                  <w:tcW w:w="2898" w:type="dxa"/>
                  <w:vAlign w:val="center"/>
                </w:tcPr>
                <w:p w14:paraId="5B3C5A63">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废分子筛、废硅胶</w:t>
                  </w:r>
                </w:p>
              </w:tc>
              <w:tc>
                <w:tcPr>
                  <w:tcW w:w="2551" w:type="dxa"/>
                  <w:vMerge w:val="continue"/>
                  <w:shd w:val="solid" w:color="E2EFD9" w:fill="auto"/>
                  <w:vAlign w:val="center"/>
                </w:tcPr>
                <w:p w14:paraId="455E64E2"/>
              </w:tc>
              <w:tc>
                <w:tcPr>
                  <w:tcW w:w="2835" w:type="dxa"/>
                  <w:vMerge w:val="continue"/>
                  <w:vAlign w:val="center"/>
                </w:tcPr>
                <w:p w14:paraId="7048FE56"/>
              </w:tc>
            </w:tr>
            <w:tr w14:paraId="6735A6DE">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199" w:hRule="atLeast"/>
              </w:trPr>
              <w:tc>
                <w:tcPr>
                  <w:tcW w:w="961" w:type="dxa"/>
                  <w:vMerge w:val="continue"/>
                  <w:shd w:val="solid" w:color="E2EFD9" w:fill="auto"/>
                  <w:vAlign w:val="center"/>
                </w:tcPr>
                <w:p w14:paraId="46ED28A9"/>
              </w:tc>
              <w:tc>
                <w:tcPr>
                  <w:tcW w:w="2898" w:type="dxa"/>
                  <w:shd w:val="solid" w:color="E2EFD9" w:fill="auto"/>
                  <w:vAlign w:val="center"/>
                </w:tcPr>
                <w:p w14:paraId="4A6C4E2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废脱酸剂</w:t>
                  </w:r>
                </w:p>
              </w:tc>
              <w:tc>
                <w:tcPr>
                  <w:tcW w:w="2551" w:type="dxa"/>
                  <w:vMerge w:val="continue"/>
                  <w:shd w:val="solid" w:color="E2EFD9" w:fill="auto"/>
                  <w:vAlign w:val="center"/>
                </w:tcPr>
                <w:p w14:paraId="356C79B8"/>
              </w:tc>
              <w:tc>
                <w:tcPr>
                  <w:tcW w:w="2835" w:type="dxa"/>
                  <w:vMerge w:val="continue"/>
                  <w:shd w:val="solid" w:color="E2EFD9" w:fill="auto"/>
                  <w:vAlign w:val="center"/>
                </w:tcPr>
                <w:p w14:paraId="097AE49F"/>
              </w:tc>
            </w:tr>
            <w:tr w14:paraId="58AE631A">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199" w:hRule="atLeast"/>
              </w:trPr>
              <w:tc>
                <w:tcPr>
                  <w:tcW w:w="961" w:type="dxa"/>
                  <w:vMerge w:val="continue"/>
                  <w:shd w:val="solid" w:color="E2EFD9" w:fill="auto"/>
                  <w:vAlign w:val="center"/>
                </w:tcPr>
                <w:p w14:paraId="086C74B7"/>
              </w:tc>
              <w:tc>
                <w:tcPr>
                  <w:tcW w:w="2898" w:type="dxa"/>
                  <w:vAlign w:val="center"/>
                </w:tcPr>
                <w:p w14:paraId="79D2C1B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废盐</w:t>
                  </w:r>
                </w:p>
              </w:tc>
              <w:tc>
                <w:tcPr>
                  <w:tcW w:w="2551" w:type="dxa"/>
                  <w:vMerge w:val="continue"/>
                  <w:shd w:val="solid" w:color="E2EFD9" w:fill="auto"/>
                  <w:vAlign w:val="center"/>
                </w:tcPr>
                <w:p w14:paraId="21593946"/>
              </w:tc>
              <w:tc>
                <w:tcPr>
                  <w:tcW w:w="2835" w:type="dxa"/>
                  <w:vMerge w:val="continue"/>
                  <w:vAlign w:val="center"/>
                </w:tcPr>
                <w:p w14:paraId="440BAE3C"/>
              </w:tc>
            </w:tr>
            <w:tr w14:paraId="19C58A66">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89" w:hRule="atLeast"/>
              </w:trPr>
              <w:tc>
                <w:tcPr>
                  <w:tcW w:w="961" w:type="dxa"/>
                  <w:vMerge w:val="continue"/>
                  <w:shd w:val="solid" w:color="E2EFD9" w:fill="auto"/>
                  <w:vAlign w:val="center"/>
                </w:tcPr>
                <w:p w14:paraId="21D82AB6"/>
              </w:tc>
              <w:tc>
                <w:tcPr>
                  <w:tcW w:w="2898" w:type="dxa"/>
                  <w:shd w:val="solid" w:color="E2EFD9" w:fill="auto"/>
                  <w:vAlign w:val="center"/>
                </w:tcPr>
                <w:p w14:paraId="480DF229">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精馏残渣、残液</w:t>
                  </w:r>
                </w:p>
              </w:tc>
              <w:tc>
                <w:tcPr>
                  <w:tcW w:w="2551" w:type="dxa"/>
                  <w:vMerge w:val="continue"/>
                  <w:shd w:val="solid" w:color="E2EFD9" w:fill="auto"/>
                  <w:vAlign w:val="center"/>
                </w:tcPr>
                <w:p w14:paraId="205F25E7"/>
              </w:tc>
              <w:tc>
                <w:tcPr>
                  <w:tcW w:w="2835" w:type="dxa"/>
                  <w:vMerge w:val="continue"/>
                  <w:shd w:val="solid" w:color="E2EFD9" w:fill="auto"/>
                  <w:vAlign w:val="center"/>
                </w:tcPr>
                <w:p w14:paraId="5B0427B3"/>
              </w:tc>
            </w:tr>
            <w:tr w14:paraId="6EB4244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37" w:hRule="atLeast"/>
              </w:trPr>
              <w:tc>
                <w:tcPr>
                  <w:tcW w:w="961" w:type="dxa"/>
                  <w:vMerge w:val="continue"/>
                  <w:shd w:val="solid" w:color="E2EFD9" w:fill="auto"/>
                  <w:vAlign w:val="center"/>
                </w:tcPr>
                <w:p w14:paraId="51CF646D"/>
              </w:tc>
              <w:tc>
                <w:tcPr>
                  <w:tcW w:w="2898" w:type="dxa"/>
                  <w:vAlign w:val="center"/>
                </w:tcPr>
                <w:p w14:paraId="5404EB1A">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高沸残液、高沸物</w:t>
                  </w:r>
                </w:p>
              </w:tc>
              <w:tc>
                <w:tcPr>
                  <w:tcW w:w="2551" w:type="dxa"/>
                  <w:vMerge w:val="continue"/>
                  <w:shd w:val="solid" w:color="E2EFD9" w:fill="auto"/>
                  <w:vAlign w:val="center"/>
                </w:tcPr>
                <w:p w14:paraId="3087C26E"/>
              </w:tc>
              <w:tc>
                <w:tcPr>
                  <w:tcW w:w="2835" w:type="dxa"/>
                  <w:vMerge w:val="continue"/>
                  <w:vAlign w:val="center"/>
                </w:tcPr>
                <w:p w14:paraId="0B668A95"/>
              </w:tc>
            </w:tr>
            <w:tr w14:paraId="64BF07A4">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86" w:hRule="atLeast"/>
              </w:trPr>
              <w:tc>
                <w:tcPr>
                  <w:tcW w:w="961" w:type="dxa"/>
                  <w:shd w:val="solid" w:color="E2EFD9" w:fill="auto"/>
                  <w:vAlign w:val="center"/>
                </w:tcPr>
                <w:p w14:paraId="74CA8379">
                  <w:pPr>
                    <w:spacing w:line="240" w:lineRule="exact"/>
                    <w:contextualSpacing/>
                    <w:jc w:val="center"/>
                    <w:rPr>
                      <w:rFonts w:hint="eastAsia" w:ascii="宋体" w:eastAsia="宋体" w:cs="宋体"/>
                      <w:color w:val="000000"/>
                      <w:szCs w:val="21"/>
                      <w:highlight w:val="none"/>
                      <w:lang w:val="en-US" w:eastAsia="zh-CN"/>
                    </w:rPr>
                  </w:pPr>
                  <w:r>
                    <w:rPr>
                      <w:rFonts w:hint="eastAsia" w:ascii="宋体" w:eastAsia="宋体" w:cs="宋体"/>
                      <w:color w:val="000000"/>
                      <w:szCs w:val="21"/>
                      <w:highlight w:val="none"/>
                    </w:rPr>
                    <w:t>1</w:t>
                  </w:r>
                  <w:r>
                    <w:rPr>
                      <w:rFonts w:ascii="宋体" w:cs="宋体"/>
                      <w:color w:val="000000"/>
                      <w:szCs w:val="21"/>
                      <w:highlight w:val="none"/>
                      <w:lang w:val="en-US" w:eastAsia="zh-CN"/>
                    </w:rPr>
                    <w:t>4</w:t>
                  </w:r>
                </w:p>
              </w:tc>
              <w:tc>
                <w:tcPr>
                  <w:tcW w:w="2898" w:type="dxa"/>
                  <w:shd w:val="solid" w:color="E2EFD9" w:fill="auto"/>
                  <w:vAlign w:val="center"/>
                </w:tcPr>
                <w:p w14:paraId="2519020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废催化剂(含镍触媒）</w:t>
                  </w:r>
                </w:p>
              </w:tc>
              <w:tc>
                <w:tcPr>
                  <w:tcW w:w="2551" w:type="dxa"/>
                  <w:shd w:val="solid" w:color="E2EFD9" w:fill="auto"/>
                  <w:vAlign w:val="center"/>
                </w:tcPr>
                <w:p w14:paraId="648E5E3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HW46</w:t>
                  </w:r>
                </w:p>
              </w:tc>
              <w:tc>
                <w:tcPr>
                  <w:tcW w:w="2835" w:type="dxa"/>
                  <w:shd w:val="solid" w:color="E2EFD9" w:fill="auto"/>
                  <w:vAlign w:val="center"/>
                </w:tcPr>
                <w:p w14:paraId="1E154E0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900-037-46</w:t>
                  </w:r>
                </w:p>
              </w:tc>
            </w:tr>
            <w:tr w14:paraId="27439C40">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86" w:hRule="atLeast"/>
              </w:trPr>
              <w:tc>
                <w:tcPr>
                  <w:tcW w:w="961" w:type="dxa"/>
                  <w:vMerge w:val="restart"/>
                  <w:shd w:val="solid" w:color="E2EFD9" w:fill="auto"/>
                  <w:vAlign w:val="center"/>
                </w:tcPr>
                <w:p w14:paraId="34A18647">
                  <w:pPr>
                    <w:spacing w:line="240" w:lineRule="exact"/>
                    <w:contextualSpacing/>
                    <w:jc w:val="center"/>
                    <w:rPr>
                      <w:rFonts w:hint="eastAsia" w:ascii="宋体" w:eastAsia="宋体" w:cs="宋体"/>
                      <w:color w:val="000000"/>
                      <w:kern w:val="0"/>
                      <w:szCs w:val="21"/>
                      <w:highlight w:val="none"/>
                      <w:lang w:val="en-US" w:eastAsia="zh-CN"/>
                    </w:rPr>
                  </w:pPr>
                  <w:r>
                    <w:rPr>
                      <w:rFonts w:hint="eastAsia" w:ascii="宋体" w:eastAsia="宋体" w:cs="宋体"/>
                      <w:color w:val="000000"/>
                      <w:kern w:val="0"/>
                      <w:szCs w:val="21"/>
                      <w:highlight w:val="none"/>
                    </w:rPr>
                    <w:t>1</w:t>
                  </w:r>
                  <w:r>
                    <w:rPr>
                      <w:rFonts w:ascii="宋体" w:cs="宋体"/>
                      <w:color w:val="000000"/>
                      <w:kern w:val="0"/>
                      <w:szCs w:val="21"/>
                      <w:highlight w:val="none"/>
                      <w:lang w:val="en-US" w:eastAsia="zh-CN"/>
                    </w:rPr>
                    <w:t>5</w:t>
                  </w:r>
                </w:p>
              </w:tc>
              <w:tc>
                <w:tcPr>
                  <w:tcW w:w="2898" w:type="dxa"/>
                  <w:vAlign w:val="center"/>
                </w:tcPr>
                <w:p w14:paraId="3F99E5E2">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废液、废树脂、废吸附剂、</w:t>
                  </w:r>
                  <w:r>
                    <w:rPr>
                      <w:rFonts w:ascii="宋体" w:eastAsia="宋体" w:cs="宋体"/>
                      <w:color w:val="000000"/>
                      <w:kern w:val="0"/>
                      <w:szCs w:val="21"/>
                      <w:highlight w:val="none"/>
                    </w:rPr>
                    <w:t>废过滤纤维、耐酸砖、废金属丝网、填料、废油漆桶、</w:t>
                  </w:r>
                  <w:r>
                    <w:rPr>
                      <w:rFonts w:hint="eastAsia" w:ascii="宋体" w:eastAsia="宋体" w:cs="宋体"/>
                      <w:color w:val="000000"/>
                      <w:kern w:val="0"/>
                      <w:szCs w:val="21"/>
                      <w:highlight w:val="none"/>
                    </w:rPr>
                    <w:t>废包装物等</w:t>
                  </w:r>
                </w:p>
              </w:tc>
              <w:tc>
                <w:tcPr>
                  <w:tcW w:w="2551" w:type="dxa"/>
                  <w:vMerge w:val="restart"/>
                  <w:shd w:val="solid" w:color="E2EFD9" w:fill="auto"/>
                  <w:vAlign w:val="center"/>
                </w:tcPr>
                <w:p w14:paraId="140CB92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HW49</w:t>
                  </w:r>
                </w:p>
              </w:tc>
              <w:tc>
                <w:tcPr>
                  <w:tcW w:w="2835" w:type="dxa"/>
                  <w:vAlign w:val="center"/>
                </w:tcPr>
                <w:p w14:paraId="133B392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900-041-49</w:t>
                  </w:r>
                </w:p>
              </w:tc>
            </w:tr>
            <w:tr w14:paraId="490B754B">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386" w:hRule="atLeast"/>
              </w:trPr>
              <w:tc>
                <w:tcPr>
                  <w:tcW w:w="961" w:type="dxa"/>
                  <w:vMerge w:val="continue"/>
                  <w:shd w:val="solid" w:color="E2EFD9" w:fill="auto"/>
                  <w:vAlign w:val="center"/>
                </w:tcPr>
                <w:p w14:paraId="255FA2C6"/>
              </w:tc>
              <w:tc>
                <w:tcPr>
                  <w:tcW w:w="2898" w:type="dxa"/>
                  <w:shd w:val="solid" w:color="E2EFD9" w:fill="auto"/>
                  <w:vAlign w:val="center"/>
                </w:tcPr>
                <w:p w14:paraId="1E1F36A9">
                  <w:pPr>
                    <w:spacing w:line="240" w:lineRule="exact"/>
                    <w:contextualSpacing/>
                    <w:jc w:val="center"/>
                    <w:rPr>
                      <w:rFonts w:ascii="宋体" w:eastAsia="宋体" w:cs="宋体"/>
                      <w:color w:val="000000"/>
                      <w:kern w:val="0"/>
                      <w:szCs w:val="21"/>
                      <w:highlight w:val="none"/>
                    </w:rPr>
                  </w:pPr>
                  <w:r>
                    <w:rPr>
                      <w:rFonts w:ascii="宋体" w:eastAsia="宋体" w:cs="宋体"/>
                      <w:color w:val="000000"/>
                      <w:kern w:val="0"/>
                      <w:szCs w:val="21"/>
                    </w:rPr>
                    <w:t>脱附废液</w:t>
                  </w:r>
                </w:p>
              </w:tc>
              <w:tc>
                <w:tcPr>
                  <w:tcW w:w="2551" w:type="dxa"/>
                  <w:vMerge w:val="continue"/>
                  <w:shd w:val="solid" w:color="E2EFD9" w:fill="auto"/>
                  <w:vAlign w:val="center"/>
                </w:tcPr>
                <w:p w14:paraId="64942C23"/>
              </w:tc>
              <w:tc>
                <w:tcPr>
                  <w:tcW w:w="2835" w:type="dxa"/>
                  <w:shd w:val="solid" w:color="E2EFD9" w:fill="auto"/>
                  <w:vAlign w:val="center"/>
                </w:tcPr>
                <w:p w14:paraId="01DBC456">
                  <w:pPr>
                    <w:spacing w:line="240" w:lineRule="exact"/>
                    <w:contextualSpacing/>
                    <w:jc w:val="center"/>
                    <w:rPr>
                      <w:rFonts w:ascii="宋体" w:eastAsia="宋体" w:cs="宋体"/>
                      <w:color w:val="000000"/>
                      <w:kern w:val="0"/>
                      <w:szCs w:val="21"/>
                      <w:highlight w:val="none"/>
                    </w:rPr>
                  </w:pPr>
                  <w:r>
                    <w:rPr>
                      <w:rFonts w:ascii="宋体" w:eastAsia="宋体" w:cs="宋体"/>
                      <w:color w:val="000000"/>
                      <w:kern w:val="0"/>
                      <w:szCs w:val="21"/>
                    </w:rPr>
                    <w:t>772-006-49</w:t>
                  </w:r>
                </w:p>
              </w:tc>
            </w:tr>
            <w:tr w14:paraId="17363FF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42090FAE"/>
              </w:tc>
              <w:tc>
                <w:tcPr>
                  <w:tcW w:w="2898" w:type="dxa"/>
                  <w:vAlign w:val="center"/>
                </w:tcPr>
                <w:p w14:paraId="69E0D694">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废活性炭</w:t>
                  </w:r>
                </w:p>
              </w:tc>
              <w:tc>
                <w:tcPr>
                  <w:tcW w:w="2551" w:type="dxa"/>
                  <w:vMerge w:val="continue"/>
                  <w:shd w:val="solid" w:color="E2EFD9" w:fill="auto"/>
                  <w:vAlign w:val="center"/>
                </w:tcPr>
                <w:p w14:paraId="223FE130"/>
              </w:tc>
              <w:tc>
                <w:tcPr>
                  <w:tcW w:w="2835" w:type="dxa"/>
                  <w:vAlign w:val="center"/>
                </w:tcPr>
                <w:p w14:paraId="61DA5D48">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kern w:val="0"/>
                      <w:szCs w:val="21"/>
                      <w:highlight w:val="none"/>
                    </w:rPr>
                    <w:t>900-039-49</w:t>
                  </w:r>
                </w:p>
              </w:tc>
            </w:tr>
            <w:tr w14:paraId="26514329">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385F9EFC"/>
              </w:tc>
              <w:tc>
                <w:tcPr>
                  <w:tcW w:w="2898" w:type="dxa"/>
                  <w:shd w:val="solid" w:color="E2EFD9" w:fill="auto"/>
                  <w:vAlign w:val="center"/>
                </w:tcPr>
                <w:p w14:paraId="45047D4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废电瓶</w:t>
                  </w:r>
                </w:p>
              </w:tc>
              <w:tc>
                <w:tcPr>
                  <w:tcW w:w="2551" w:type="dxa"/>
                  <w:vMerge w:val="continue"/>
                  <w:shd w:val="solid" w:color="E2EFD9" w:fill="auto"/>
                  <w:vAlign w:val="center"/>
                </w:tcPr>
                <w:p w14:paraId="522CB866"/>
              </w:tc>
              <w:tc>
                <w:tcPr>
                  <w:tcW w:w="2835" w:type="dxa"/>
                  <w:shd w:val="solid" w:color="E2EFD9" w:fill="auto"/>
                  <w:vAlign w:val="center"/>
                </w:tcPr>
                <w:p w14:paraId="3AB87E1F">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900-044-49</w:t>
                  </w:r>
                </w:p>
              </w:tc>
            </w:tr>
            <w:tr w14:paraId="4993F56C">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591E0418"/>
              </w:tc>
              <w:tc>
                <w:tcPr>
                  <w:tcW w:w="2898" w:type="dxa"/>
                  <w:vAlign w:val="center"/>
                </w:tcPr>
                <w:p w14:paraId="6F1F596D">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lang w:val="en-US" w:eastAsia="zh-CN"/>
                    </w:rPr>
                    <w:t>实验室废液废弃物</w:t>
                  </w:r>
                </w:p>
              </w:tc>
              <w:tc>
                <w:tcPr>
                  <w:tcW w:w="2551" w:type="dxa"/>
                  <w:vMerge w:val="continue"/>
                  <w:shd w:val="solid" w:color="E2EFD9" w:fill="auto"/>
                  <w:vAlign w:val="center"/>
                </w:tcPr>
                <w:p w14:paraId="0EB23334"/>
              </w:tc>
              <w:tc>
                <w:tcPr>
                  <w:tcW w:w="2835" w:type="dxa"/>
                  <w:vAlign w:val="center"/>
                </w:tcPr>
                <w:p w14:paraId="4DC1F031">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lang w:val="en-US" w:eastAsia="zh-CN"/>
                    </w:rPr>
                    <w:t>900-047-49</w:t>
                  </w:r>
                </w:p>
              </w:tc>
            </w:tr>
            <w:tr w14:paraId="1BD04D53">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248" w:hRule="atLeast"/>
              </w:trPr>
              <w:tc>
                <w:tcPr>
                  <w:tcW w:w="961" w:type="dxa"/>
                  <w:vMerge w:val="restart"/>
                  <w:shd w:val="solid" w:color="E2EFD9" w:fill="auto"/>
                  <w:vAlign w:val="center"/>
                </w:tcPr>
                <w:p w14:paraId="4BDD17EA">
                  <w:pPr>
                    <w:spacing w:line="240" w:lineRule="exact"/>
                    <w:contextualSpacing/>
                    <w:jc w:val="center"/>
                    <w:rPr>
                      <w:rFonts w:hint="eastAsia" w:ascii="宋体" w:eastAsia="宋体" w:cs="宋体"/>
                      <w:color w:val="000000"/>
                      <w:szCs w:val="21"/>
                      <w:highlight w:val="none"/>
                      <w:lang w:val="en-US" w:eastAsia="zh-CN"/>
                    </w:rPr>
                  </w:pPr>
                  <w:r>
                    <w:rPr>
                      <w:rFonts w:hint="eastAsia" w:ascii="宋体" w:eastAsia="宋体" w:cs="宋体"/>
                      <w:color w:val="000000"/>
                      <w:szCs w:val="21"/>
                      <w:highlight w:val="none"/>
                    </w:rPr>
                    <w:t>1</w:t>
                  </w:r>
                  <w:r>
                    <w:rPr>
                      <w:rFonts w:ascii="宋体" w:cs="宋体"/>
                      <w:color w:val="000000"/>
                      <w:szCs w:val="21"/>
                      <w:highlight w:val="none"/>
                      <w:lang w:val="en-US" w:eastAsia="zh-CN"/>
                    </w:rPr>
                    <w:t>6</w:t>
                  </w:r>
                </w:p>
              </w:tc>
              <w:tc>
                <w:tcPr>
                  <w:tcW w:w="2898" w:type="dxa"/>
                  <w:shd w:val="solid" w:color="E2EFD9" w:fill="auto"/>
                  <w:vAlign w:val="center"/>
                </w:tcPr>
                <w:p w14:paraId="05D5B4D8">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氨肟化、脱氢废催化剂</w:t>
                  </w:r>
                </w:p>
              </w:tc>
              <w:tc>
                <w:tcPr>
                  <w:tcW w:w="2551" w:type="dxa"/>
                  <w:vMerge w:val="restart"/>
                  <w:shd w:val="solid" w:color="E2EFD9" w:fill="auto"/>
                  <w:vAlign w:val="center"/>
                </w:tcPr>
                <w:p w14:paraId="7B4534EA">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HW50</w:t>
                  </w:r>
                </w:p>
              </w:tc>
              <w:tc>
                <w:tcPr>
                  <w:tcW w:w="2835" w:type="dxa"/>
                  <w:shd w:val="solid" w:color="E2EFD9" w:fill="auto"/>
                  <w:vAlign w:val="center"/>
                </w:tcPr>
                <w:p w14:paraId="6AADA2ED">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kern w:val="0"/>
                      <w:szCs w:val="21"/>
                      <w:highlight w:val="none"/>
                    </w:rPr>
                    <w:t>261-152-50</w:t>
                  </w:r>
                </w:p>
              </w:tc>
            </w:tr>
            <w:tr w14:paraId="70948915">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212C5633"/>
              </w:tc>
              <w:tc>
                <w:tcPr>
                  <w:tcW w:w="2898" w:type="dxa"/>
                  <w:vAlign w:val="center"/>
                </w:tcPr>
                <w:p w14:paraId="445BAD41">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szCs w:val="21"/>
                      <w:highlight w:val="none"/>
                    </w:rPr>
                    <w:t>脱硝废催化剂</w:t>
                  </w:r>
                </w:p>
              </w:tc>
              <w:tc>
                <w:tcPr>
                  <w:tcW w:w="2551" w:type="dxa"/>
                  <w:vMerge w:val="continue"/>
                  <w:shd w:val="solid" w:color="E2EFD9" w:fill="auto"/>
                  <w:vAlign w:val="center"/>
                </w:tcPr>
                <w:p w14:paraId="50BF431A"/>
              </w:tc>
              <w:tc>
                <w:tcPr>
                  <w:tcW w:w="2835" w:type="dxa"/>
                  <w:vAlign w:val="center"/>
                </w:tcPr>
                <w:p w14:paraId="19514563">
                  <w:pPr>
                    <w:spacing w:line="240" w:lineRule="exact"/>
                    <w:contextualSpacing/>
                    <w:jc w:val="center"/>
                    <w:rPr>
                      <w:rFonts w:hint="eastAsia" w:ascii="宋体" w:eastAsia="宋体" w:cs="宋体"/>
                      <w:color w:val="000000"/>
                      <w:szCs w:val="21"/>
                      <w:highlight w:val="none"/>
                    </w:rPr>
                  </w:pPr>
                  <w:r>
                    <w:rPr>
                      <w:rFonts w:hint="eastAsia" w:ascii="宋体" w:eastAsia="宋体" w:cs="宋体"/>
                      <w:color w:val="000000"/>
                      <w:kern w:val="0"/>
                      <w:szCs w:val="21"/>
                      <w:highlight w:val="none"/>
                    </w:rPr>
                    <w:t>772-007-50</w:t>
                  </w:r>
                </w:p>
              </w:tc>
            </w:tr>
            <w:tr w14:paraId="3D799715">
              <w:tblPrEx>
                <w:tblBorders>
                  <w:top w:val="single" w:color="A8D08D" w:sz="4" w:space="0"/>
                  <w:left w:val="single" w:color="A8D08D" w:sz="4" w:space="0"/>
                  <w:bottom w:val="single" w:color="A8D08D" w:sz="4" w:space="0"/>
                  <w:right w:val="single" w:color="A8D08D" w:sz="4" w:space="0"/>
                  <w:insideH w:val="single" w:color="A8D08D" w:sz="4" w:space="0"/>
                  <w:insideV w:val="single" w:color="A8D08D" w:sz="4" w:space="0"/>
                </w:tblBorders>
                <w:tblCellMar>
                  <w:top w:w="0" w:type="dxa"/>
                  <w:left w:w="108" w:type="dxa"/>
                  <w:bottom w:w="0" w:type="dxa"/>
                  <w:right w:w="108" w:type="dxa"/>
                </w:tblCellMar>
              </w:tblPrEx>
              <w:trPr>
                <w:trHeight w:val="90" w:hRule="atLeast"/>
              </w:trPr>
              <w:tc>
                <w:tcPr>
                  <w:tcW w:w="961" w:type="dxa"/>
                  <w:vMerge w:val="continue"/>
                  <w:shd w:val="solid" w:color="E2EFD9" w:fill="auto"/>
                  <w:vAlign w:val="center"/>
                </w:tcPr>
                <w:p w14:paraId="0A8A6FC6"/>
              </w:tc>
              <w:tc>
                <w:tcPr>
                  <w:tcW w:w="2898" w:type="dxa"/>
                  <w:shd w:val="solid" w:color="E2EFD9" w:fill="auto"/>
                  <w:vAlign w:val="center"/>
                </w:tcPr>
                <w:p w14:paraId="70ED00FB">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废催化剂（铜锌触媒）</w:t>
                  </w:r>
                </w:p>
              </w:tc>
              <w:tc>
                <w:tcPr>
                  <w:tcW w:w="2551" w:type="dxa"/>
                  <w:vMerge w:val="continue"/>
                  <w:shd w:val="solid" w:color="E2EFD9" w:fill="auto"/>
                  <w:vAlign w:val="center"/>
                </w:tcPr>
                <w:p w14:paraId="6F4FEA3C"/>
              </w:tc>
              <w:tc>
                <w:tcPr>
                  <w:tcW w:w="2835" w:type="dxa"/>
                  <w:shd w:val="solid" w:color="E2EFD9" w:fill="auto"/>
                  <w:vAlign w:val="center"/>
                </w:tcPr>
                <w:p w14:paraId="2BB153AA">
                  <w:pPr>
                    <w:spacing w:line="240" w:lineRule="exact"/>
                    <w:contextualSpacing/>
                    <w:jc w:val="center"/>
                    <w:rPr>
                      <w:rFonts w:hint="eastAsia" w:ascii="宋体" w:eastAsia="宋体" w:cs="宋体"/>
                      <w:color w:val="000000"/>
                      <w:kern w:val="0"/>
                      <w:szCs w:val="21"/>
                      <w:highlight w:val="none"/>
                    </w:rPr>
                  </w:pPr>
                  <w:r>
                    <w:rPr>
                      <w:rFonts w:hint="eastAsia" w:ascii="宋体" w:eastAsia="宋体" w:cs="宋体"/>
                      <w:color w:val="000000"/>
                      <w:kern w:val="0"/>
                      <w:szCs w:val="21"/>
                      <w:highlight w:val="none"/>
                    </w:rPr>
                    <w:t>261-167-50</w:t>
                  </w:r>
                </w:p>
              </w:tc>
            </w:tr>
          </w:tbl>
          <w:p w14:paraId="172DCFD0">
            <w:pPr>
              <w:snapToGrid w:val="0"/>
              <w:spacing w:line="400" w:lineRule="exact"/>
              <w:ind w:firstLine="424" w:firstLineChars="177"/>
              <w:rPr>
                <w:rFonts w:hint="eastAsia" w:ascii="宋体" w:eastAsia="宋体" w:cs="宋体"/>
                <w:sz w:val="24"/>
                <w:highlight w:val="none"/>
              </w:rPr>
            </w:pPr>
          </w:p>
        </w:tc>
      </w:tr>
    </w:tbl>
    <w:p w14:paraId="7B2F975E">
      <w:pPr>
        <w:pStyle w:val="35"/>
        <w:snapToGrid w:val="0"/>
        <w:spacing w:line="384" w:lineRule="exact"/>
        <w:rPr>
          <w:rFonts w:hint="eastAsia" w:ascii="宋体" w:eastAsia="宋体" w:cs="宋体"/>
          <w:highlight w:val="none"/>
        </w:rPr>
      </w:pPr>
      <w:r>
        <w:rPr>
          <w:rFonts w:hint="eastAsia" w:ascii="宋体" w:eastAsia="宋体" w:cs="宋体"/>
          <w:b/>
          <w:szCs w:val="21"/>
          <w:highlight w:val="none"/>
        </w:rPr>
        <w:t>注明：投标人须知前附表与投标人须知不一致时，以投标人须知前附表为准。</w:t>
      </w:r>
    </w:p>
    <w:p w14:paraId="745B745B">
      <w:pPr>
        <w:pStyle w:val="35"/>
        <w:snapToGrid w:val="0"/>
        <w:spacing w:line="400" w:lineRule="exact"/>
        <w:ind w:firstLine="420" w:firstLineChars="0"/>
        <w:rPr>
          <w:rFonts w:hint="eastAsia" w:ascii="宋体" w:eastAsia="宋体" w:cs="宋体"/>
          <w:highlight w:val="none"/>
        </w:rPr>
        <w:sectPr>
          <w:headerReference r:id="rId10" w:type="first"/>
          <w:headerReference r:id="rId9" w:type="default"/>
          <w:footerReference r:id="rId11" w:type="default"/>
          <w:pgSz w:w="11907" w:h="16840"/>
          <w:pgMar w:top="1440" w:right="1080" w:bottom="1440" w:left="1080" w:header="680" w:footer="964" w:gutter="0"/>
          <w:pgNumType w:start="3"/>
          <w:cols w:space="720" w:num="1"/>
          <w:docGrid w:linePitch="285" w:charSpace="0"/>
        </w:sectPr>
      </w:pPr>
    </w:p>
    <w:p w14:paraId="4CEB9A37">
      <w:pPr>
        <w:pStyle w:val="35"/>
        <w:snapToGrid w:val="0"/>
        <w:spacing w:line="400" w:lineRule="exact"/>
        <w:ind w:firstLine="420" w:firstLineChars="0"/>
        <w:jc w:val="center"/>
        <w:rPr>
          <w:rFonts w:hint="eastAsia" w:ascii="宋体" w:eastAsia="宋体" w:cs="宋体"/>
          <w:sz w:val="28"/>
          <w:szCs w:val="28"/>
          <w:highlight w:val="none"/>
        </w:rPr>
      </w:pPr>
      <w:r>
        <w:rPr>
          <w:rFonts w:hint="eastAsia" w:ascii="宋体" w:eastAsia="宋体" w:cs="宋体"/>
          <w:sz w:val="28"/>
          <w:szCs w:val="28"/>
          <w:highlight w:val="none"/>
        </w:rPr>
        <w:t>投标人须知正文部分</w:t>
      </w:r>
    </w:p>
    <w:p w14:paraId="151AD0C2">
      <w:pPr>
        <w:snapToGrid w:val="0"/>
        <w:spacing w:line="360" w:lineRule="auto"/>
        <w:ind w:left="426"/>
        <w:jc w:val="left"/>
        <w:outlineLvl w:val="1"/>
        <w:rPr>
          <w:rFonts w:hint="eastAsia" w:ascii="宋体"/>
          <w:b/>
          <w:color w:val="auto"/>
          <w:sz w:val="28"/>
          <w:szCs w:val="28"/>
          <w:highlight w:val="none"/>
        </w:rPr>
      </w:pPr>
      <w:bookmarkStart w:id="4" w:name="_Toc133174816"/>
      <w:r>
        <w:rPr>
          <w:rFonts w:hint="eastAsia" w:ascii="宋体"/>
          <w:b/>
          <w:color w:val="auto"/>
          <w:sz w:val="28"/>
          <w:szCs w:val="28"/>
          <w:highlight w:val="none"/>
        </w:rPr>
        <w:t>一、总  则</w:t>
      </w:r>
      <w:bookmarkEnd w:id="4"/>
    </w:p>
    <w:p w14:paraId="3A1EE0C2">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（一） 适用范围</w:t>
      </w:r>
    </w:p>
    <w:p w14:paraId="3935EE83">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rPr>
        <w:t>本招标文件适用于本次招标项目的招标、投标、评标、定标、验收、合同履约、付款等行为（法律、法规另有规定的，从其规定）。</w:t>
      </w:r>
    </w:p>
    <w:p w14:paraId="5E640E47">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（二）定义</w:t>
      </w:r>
    </w:p>
    <w:p w14:paraId="0E0DFFBA">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rPr>
        <w:t>1.招标单位：系指组织本次招标的招标人和招标代理机构。</w:t>
      </w:r>
    </w:p>
    <w:p w14:paraId="2287BC06">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2.投标人：系指按招标文件规定合法获取了招标文件并向招标单位提交投标文件的单位。</w:t>
      </w:r>
    </w:p>
    <w:p w14:paraId="40D319C8">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3.投标人代表：是指参加本项目投标活动的投标人法定代表人或法定代表人授权代表。</w:t>
      </w:r>
    </w:p>
    <w:p w14:paraId="472B7B9E">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4.联合体：是指两个以上投标人组成联合体，以一个投标人的身份参加投标。</w:t>
      </w:r>
    </w:p>
    <w:p w14:paraId="5B750935">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5. 甲方：是指合同签订的一方，一般与招标人、用户相同。</w:t>
      </w:r>
    </w:p>
    <w:p w14:paraId="21329096">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6. 乙方：是指合同签订的另一方，与中标人相同。</w:t>
      </w:r>
    </w:p>
    <w:p w14:paraId="4E4149A5">
      <w:pPr>
        <w:snapToGrid w:val="0"/>
        <w:spacing w:line="360" w:lineRule="auto"/>
        <w:ind w:firstLine="426"/>
        <w:jc w:val="left"/>
        <w:rPr>
          <w:rFonts w:hint="eastAsia" w:ascii="宋体" w:eastAsia="宋体"/>
          <w:color w:val="auto"/>
          <w:sz w:val="24"/>
          <w:highlight w:val="none"/>
          <w:lang w:val="en-US" w:eastAsia="zh-CN"/>
        </w:rPr>
      </w:pPr>
      <w:r>
        <w:rPr>
          <w:rFonts w:hint="eastAsia" w:ascii="宋体"/>
          <w:color w:val="auto"/>
          <w:sz w:val="24"/>
          <w:highlight w:val="none"/>
        </w:rPr>
        <w:t>7.</w:t>
      </w:r>
      <w:r>
        <w:rPr>
          <w:rFonts w:hint="eastAsia" w:ascii="宋体"/>
          <w:color w:val="auto"/>
          <w:sz w:val="24"/>
          <w:highlight w:val="none"/>
          <w:lang w:eastAsia="zh-CN"/>
        </w:rPr>
        <w:t>“</w:t>
      </w:r>
      <w:r>
        <w:rPr>
          <w:rFonts w:hint="eastAsia" w:ascii="宋体"/>
          <w:color w:val="auto"/>
          <w:sz w:val="24"/>
          <w:highlight w:val="none"/>
          <w:lang w:val="en-US" w:eastAsia="zh-CN"/>
        </w:rPr>
        <w:t>服务</w:t>
      </w:r>
      <w:r>
        <w:rPr>
          <w:rFonts w:hint="eastAsia" w:ascii="宋体"/>
          <w:color w:val="auto"/>
          <w:sz w:val="24"/>
          <w:highlight w:val="none"/>
          <w:lang w:eastAsia="zh-CN"/>
        </w:rPr>
        <w:t>”</w:t>
      </w:r>
      <w:r>
        <w:rPr>
          <w:rFonts w:hint="eastAsia" w:ascii="宋体"/>
          <w:color w:val="auto"/>
          <w:sz w:val="24"/>
          <w:highlight w:val="none"/>
          <w:lang w:val="en-US" w:eastAsia="zh-CN"/>
        </w:rPr>
        <w:t>系指投标人按招标文件规定向招标人提供的评估相关工作。</w:t>
      </w:r>
    </w:p>
    <w:p w14:paraId="3DBEBCD2">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lang w:val="en-US" w:eastAsia="zh-CN"/>
        </w:rPr>
        <w:t>8.</w:t>
      </w:r>
      <w:r>
        <w:rPr>
          <w:rFonts w:hint="eastAsia" w:ascii="宋体"/>
          <w:color w:val="auto"/>
          <w:sz w:val="24"/>
          <w:highlight w:val="none"/>
        </w:rPr>
        <w:t>“项目”系指投标人按招标文件规定向招标人提供的</w:t>
      </w:r>
      <w:r>
        <w:rPr>
          <w:rFonts w:hint="eastAsia" w:ascii="宋体"/>
          <w:color w:val="auto"/>
          <w:sz w:val="24"/>
          <w:highlight w:val="none"/>
          <w:lang w:val="en-US" w:eastAsia="zh-CN"/>
        </w:rPr>
        <w:t>服务</w:t>
      </w:r>
      <w:r>
        <w:rPr>
          <w:rFonts w:hint="eastAsia" w:ascii="宋体"/>
          <w:color w:val="auto"/>
          <w:sz w:val="24"/>
          <w:highlight w:val="none"/>
        </w:rPr>
        <w:t>。</w:t>
      </w:r>
    </w:p>
    <w:p w14:paraId="684A68E6">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lang w:val="en-US" w:eastAsia="zh-CN"/>
        </w:rPr>
        <w:t>9</w:t>
      </w:r>
      <w:r>
        <w:rPr>
          <w:rFonts w:hint="eastAsia" w:ascii="宋体"/>
          <w:color w:val="auto"/>
          <w:sz w:val="24"/>
          <w:highlight w:val="none"/>
        </w:rPr>
        <w:t>.“书面形式”包括信函、传真、电报等。</w:t>
      </w:r>
    </w:p>
    <w:p w14:paraId="40C550B2">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lang w:val="en-US" w:eastAsia="zh-CN"/>
        </w:rPr>
        <w:t>10</w:t>
      </w:r>
      <w:r>
        <w:rPr>
          <w:rFonts w:hint="eastAsia" w:ascii="宋体"/>
          <w:color w:val="auto"/>
          <w:sz w:val="24"/>
          <w:highlight w:val="none"/>
        </w:rPr>
        <w:t>.“▲”系指实质性要求条款。</w:t>
      </w:r>
    </w:p>
    <w:p w14:paraId="0B66BEEC">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（三）招标方式</w:t>
      </w:r>
    </w:p>
    <w:p w14:paraId="226B4F7C">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rPr>
        <w:t>本次招标采用公开招标方式进行。</w:t>
      </w:r>
    </w:p>
    <w:p w14:paraId="6B42E90B">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（四）投标委托</w:t>
      </w:r>
    </w:p>
    <w:p w14:paraId="6C5E4CB9">
      <w:pPr>
        <w:pStyle w:val="3"/>
        <w:snapToGrid w:val="0"/>
        <w:spacing w:line="360" w:lineRule="auto"/>
        <w:ind w:firstLine="426"/>
        <w:jc w:val="left"/>
        <w:rPr>
          <w:rFonts w:eastAsia="宋体"/>
          <w:color w:val="auto"/>
          <w:sz w:val="24"/>
          <w:szCs w:val="24"/>
          <w:highlight w:val="none"/>
          <w:lang w:val="en-US" w:eastAsia="zh-CN"/>
        </w:rPr>
      </w:pPr>
      <w:r>
        <w:rPr>
          <w:rFonts w:hint="eastAsia"/>
          <w:color w:val="auto"/>
          <w:sz w:val="24"/>
          <w:szCs w:val="24"/>
          <w:highlight w:val="none"/>
          <w:lang w:val="en-US" w:eastAsia="zh-CN"/>
        </w:rPr>
        <w:t>本项目为电子招投标，无需委托授权代表。</w:t>
      </w:r>
    </w:p>
    <w:p w14:paraId="782DC2CB">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（五）投标费用</w:t>
      </w:r>
    </w:p>
    <w:p w14:paraId="4BFE1851">
      <w:pPr>
        <w:snapToGrid w:val="0"/>
        <w:spacing w:line="360" w:lineRule="auto"/>
        <w:ind w:firstLine="426"/>
        <w:jc w:val="left"/>
        <w:rPr>
          <w:rFonts w:hint="eastAsia" w:ascii="宋体"/>
          <w:color w:val="auto"/>
          <w:sz w:val="24"/>
          <w:szCs w:val="20"/>
          <w:highlight w:val="none"/>
        </w:rPr>
      </w:pPr>
      <w:r>
        <w:rPr>
          <w:rFonts w:hint="eastAsia" w:ascii="宋体"/>
          <w:color w:val="auto"/>
          <w:sz w:val="24"/>
          <w:highlight w:val="none"/>
        </w:rPr>
        <w:t>不论投标结果如何，投标人均应自行承担所有与投标有关的全部费用。</w:t>
      </w:r>
    </w:p>
    <w:p w14:paraId="02E6AC05">
      <w:pPr>
        <w:snapToGrid w:val="0"/>
        <w:spacing w:line="360" w:lineRule="auto"/>
        <w:ind w:firstLine="426"/>
        <w:jc w:val="left"/>
        <w:rPr>
          <w:rFonts w:hint="eastAsia" w:ascii="宋体"/>
          <w:b/>
          <w:color w:val="auto"/>
          <w:sz w:val="24"/>
          <w:szCs w:val="20"/>
          <w:highlight w:val="none"/>
        </w:rPr>
      </w:pPr>
      <w:r>
        <w:rPr>
          <w:rFonts w:hint="eastAsia" w:ascii="宋体"/>
          <w:b/>
          <w:color w:val="auto"/>
          <w:sz w:val="24"/>
          <w:highlight w:val="none"/>
        </w:rPr>
        <w:t>（六）联合体投标</w:t>
      </w:r>
    </w:p>
    <w:p w14:paraId="002EAF65">
      <w:pPr>
        <w:snapToGrid w:val="0"/>
        <w:spacing w:line="360" w:lineRule="auto"/>
        <w:ind w:firstLine="426"/>
        <w:jc w:val="left"/>
        <w:rPr>
          <w:rFonts w:hint="eastAsia" w:ascii="宋体"/>
          <w:i/>
          <w:color w:val="auto"/>
          <w:sz w:val="24"/>
          <w:highlight w:val="none"/>
        </w:rPr>
      </w:pPr>
      <w:r>
        <w:rPr>
          <w:rFonts w:hint="eastAsia" w:ascii="宋体"/>
          <w:color w:val="auto"/>
          <w:kern w:val="0"/>
          <w:sz w:val="24"/>
          <w:highlight w:val="none"/>
        </w:rPr>
        <w:t>本项目不接受联合体投标。</w:t>
      </w:r>
    </w:p>
    <w:p w14:paraId="753F3CE5">
      <w:pPr>
        <w:snapToGrid w:val="0"/>
        <w:spacing w:line="360" w:lineRule="auto"/>
        <w:ind w:firstLine="426"/>
        <w:rPr>
          <w:rFonts w:hint="eastAsia" w:ascii="宋体"/>
          <w:b/>
          <w:color w:val="auto"/>
          <w:kern w:val="0"/>
          <w:sz w:val="24"/>
          <w:szCs w:val="20"/>
          <w:highlight w:val="none"/>
        </w:rPr>
      </w:pPr>
      <w:r>
        <w:rPr>
          <w:rFonts w:hint="eastAsia" w:ascii="宋体"/>
          <w:b/>
          <w:color w:val="auto"/>
          <w:sz w:val="24"/>
          <w:highlight w:val="none"/>
        </w:rPr>
        <w:t>（七）</w:t>
      </w:r>
      <w:r>
        <w:rPr>
          <w:rFonts w:hint="eastAsia" w:ascii="宋体"/>
          <w:b/>
          <w:color w:val="auto"/>
          <w:kern w:val="0"/>
          <w:sz w:val="24"/>
          <w:highlight w:val="none"/>
        </w:rPr>
        <w:t>转包与分包</w:t>
      </w:r>
    </w:p>
    <w:p w14:paraId="3BE74419">
      <w:pPr>
        <w:snapToGrid w:val="0"/>
        <w:spacing w:line="360" w:lineRule="auto"/>
        <w:ind w:firstLine="426"/>
        <w:rPr>
          <w:rFonts w:hint="eastAsia" w:ascii="宋体"/>
          <w:color w:val="auto"/>
          <w:kern w:val="0"/>
          <w:sz w:val="24"/>
          <w:szCs w:val="20"/>
          <w:highlight w:val="none"/>
        </w:rPr>
      </w:pPr>
      <w:r>
        <w:rPr>
          <w:rFonts w:hint="eastAsia" w:ascii="宋体"/>
          <w:color w:val="auto"/>
          <w:kern w:val="0"/>
          <w:sz w:val="24"/>
          <w:highlight w:val="none"/>
        </w:rPr>
        <w:t>1.本项目不允许转包。</w:t>
      </w:r>
    </w:p>
    <w:p w14:paraId="725A0078">
      <w:pPr>
        <w:snapToGrid w:val="0"/>
        <w:spacing w:line="360" w:lineRule="auto"/>
        <w:ind w:firstLine="426"/>
        <w:rPr>
          <w:rFonts w:hint="eastAsia" w:ascii="宋体"/>
          <w:color w:val="auto"/>
          <w:sz w:val="24"/>
          <w:szCs w:val="20"/>
          <w:highlight w:val="none"/>
        </w:rPr>
      </w:pPr>
      <w:r>
        <w:rPr>
          <w:rFonts w:hint="eastAsia" w:ascii="宋体"/>
          <w:color w:val="auto"/>
          <w:kern w:val="0"/>
          <w:sz w:val="24"/>
          <w:highlight w:val="none"/>
        </w:rPr>
        <w:t>2.本项目不允许分包。</w:t>
      </w:r>
    </w:p>
    <w:p w14:paraId="277DA264">
      <w:pPr>
        <w:snapToGrid w:val="0"/>
        <w:spacing w:line="360" w:lineRule="auto"/>
        <w:ind w:firstLine="426"/>
        <w:jc w:val="left"/>
        <w:rPr>
          <w:rFonts w:hint="eastAsia" w:ascii="宋体"/>
          <w:b/>
          <w:color w:val="auto"/>
          <w:sz w:val="24"/>
          <w:highlight w:val="none"/>
        </w:rPr>
      </w:pPr>
      <w:r>
        <w:rPr>
          <w:rFonts w:hint="eastAsia" w:ascii="宋体"/>
          <w:b/>
          <w:color w:val="auto"/>
          <w:sz w:val="24"/>
          <w:highlight w:val="none"/>
        </w:rPr>
        <w:t>（八）特别说明：</w:t>
      </w:r>
    </w:p>
    <w:p w14:paraId="2E7B4143">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1.本次招标采用电子交易方式。</w:t>
      </w:r>
    </w:p>
    <w:p w14:paraId="44982853">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7E79274D">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3.投标人投标所使用的资格、信誉、荣誉、业绩与企业认证证书必须为该投标人所拥有。</w:t>
      </w:r>
    </w:p>
    <w:p w14:paraId="03C27D0C">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4.投标人应仔细阅读招标文件的所有内容，按照招标文件的要求提交投标文件，并对所提供的全部资料的真实性承担法律责任。</w:t>
      </w:r>
    </w:p>
    <w:p w14:paraId="7320DAA0">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5.招标过程中出现以下情形，导致电子交易平台无法正常运行，或者无法保证电子交易的公平、公正和安全时，招标人（或招标代理机构）可中止电子交易活动：</w:t>
      </w:r>
    </w:p>
    <w:p w14:paraId="5DCD8B9A">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 xml:space="preserve">（1）电子交易平台发生故障而无法登录访问的； </w:t>
      </w:r>
    </w:p>
    <w:p w14:paraId="2958ABD3">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（2）电子交易平台应用或数据库出现错误，不能进行正常操作的；</w:t>
      </w:r>
    </w:p>
    <w:p w14:paraId="13CCAEDB">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（3）电子交易平台发现严重安全漏洞，有潜在泄密危险的；</w:t>
      </w:r>
    </w:p>
    <w:p w14:paraId="35963F5A">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（4）病毒发作导致不能进行正常操作的；</w:t>
      </w:r>
    </w:p>
    <w:p w14:paraId="7A834600">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（5）其他无法保证电子交易的公平、公正和安全的情况。</w:t>
      </w:r>
    </w:p>
    <w:p w14:paraId="4F6ADE6A">
      <w:pPr>
        <w:snapToGrid w:val="0"/>
        <w:spacing w:line="360" w:lineRule="auto"/>
        <w:ind w:firstLine="426"/>
        <w:rPr>
          <w:rFonts w:hint="eastAsia" w:ascii="宋体"/>
          <w:color w:val="auto"/>
          <w:kern w:val="0"/>
          <w:sz w:val="24"/>
          <w:highlight w:val="none"/>
        </w:rPr>
      </w:pPr>
      <w:r>
        <w:rPr>
          <w:rFonts w:hint="eastAsia" w:ascii="宋体"/>
          <w:color w:val="auto"/>
          <w:kern w:val="0"/>
          <w:sz w:val="24"/>
          <w:highlight w:val="none"/>
        </w:rPr>
        <w:t>出现上述规定情形，不影响招标公平、公正性的，招标（或招标代理机构）可以待上述情形消除后继续组织电子交易活动，也可以决定某些环节以纸质形式进行。</w:t>
      </w:r>
    </w:p>
    <w:p w14:paraId="2342E70F">
      <w:pPr>
        <w:pStyle w:val="36"/>
        <w:snapToGrid w:val="0"/>
        <w:spacing w:before="0" w:after="0" w:line="440" w:lineRule="exact"/>
        <w:rPr>
          <w:rFonts w:hint="eastAsia" w:ascii="宋体" w:eastAsia="宋体" w:cs="宋体"/>
          <w:sz w:val="24"/>
          <w:highlight w:val="none"/>
        </w:rPr>
      </w:pPr>
      <w:r>
        <w:rPr>
          <w:rFonts w:hint="eastAsia" w:ascii="宋体" w:eastAsia="宋体" w:cs="宋体"/>
          <w:sz w:val="24"/>
          <w:highlight w:val="none"/>
        </w:rPr>
        <w:t>2 招标文件</w:t>
      </w:r>
    </w:p>
    <w:p w14:paraId="2DE9748E">
      <w:pPr>
        <w:pStyle w:val="36"/>
        <w:snapToGrid w:val="0"/>
        <w:spacing w:before="0" w:after="0" w:line="440" w:lineRule="exact"/>
        <w:rPr>
          <w:rFonts w:hint="eastAsia" w:ascii="宋体" w:eastAsia="宋体" w:cs="宋体"/>
          <w:sz w:val="24"/>
          <w:highlight w:val="none"/>
        </w:rPr>
      </w:pPr>
      <w:r>
        <w:rPr>
          <w:rFonts w:hint="eastAsia" w:ascii="宋体" w:eastAsia="宋体" w:cs="宋体"/>
          <w:sz w:val="24"/>
          <w:highlight w:val="none"/>
        </w:rPr>
        <w:t>2.1 招标文件的组成</w:t>
      </w:r>
    </w:p>
    <w:p w14:paraId="5313116A">
      <w:pPr>
        <w:snapToGrid w:val="0"/>
        <w:spacing w:line="440" w:lineRule="exact"/>
        <w:ind w:firstLine="480" w:firstLineChars="200"/>
        <w:rPr>
          <w:rFonts w:hint="eastAsia" w:ascii="宋体" w:eastAsia="宋体" w:cs="宋体"/>
          <w:sz w:val="24"/>
          <w:highlight w:val="none"/>
        </w:rPr>
      </w:pPr>
      <w:r>
        <w:rPr>
          <w:rFonts w:hint="eastAsia" w:ascii="宋体" w:eastAsia="宋体" w:cs="宋体"/>
          <w:sz w:val="24"/>
          <w:highlight w:val="none"/>
        </w:rPr>
        <w:t>本招标文件包括下列内容：</w:t>
      </w:r>
    </w:p>
    <w:p w14:paraId="2CA826CA">
      <w:pPr>
        <w:snapToGrid w:val="0"/>
        <w:spacing w:line="440" w:lineRule="exact"/>
        <w:ind w:firstLine="410" w:firstLineChars="171"/>
        <w:rPr>
          <w:rFonts w:hint="eastAsia" w:ascii="宋体" w:eastAsia="宋体" w:cs="宋体"/>
          <w:sz w:val="24"/>
          <w:highlight w:val="none"/>
        </w:rPr>
      </w:pPr>
      <w:r>
        <w:rPr>
          <w:rFonts w:hint="eastAsia" w:ascii="宋体" w:eastAsia="宋体" w:cs="宋体"/>
          <w:sz w:val="24"/>
          <w:highlight w:val="none"/>
        </w:rPr>
        <w:t>（1）招标公告</w:t>
      </w:r>
    </w:p>
    <w:p w14:paraId="42726669">
      <w:pPr>
        <w:snapToGrid w:val="0"/>
        <w:spacing w:line="440" w:lineRule="exact"/>
        <w:ind w:firstLine="410" w:firstLineChars="171"/>
        <w:rPr>
          <w:rFonts w:hint="eastAsia" w:ascii="宋体" w:eastAsia="宋体" w:cs="宋体"/>
          <w:sz w:val="24"/>
          <w:highlight w:val="none"/>
        </w:rPr>
      </w:pPr>
      <w:r>
        <w:rPr>
          <w:rFonts w:hint="eastAsia" w:ascii="宋体" w:eastAsia="宋体" w:cs="宋体"/>
          <w:sz w:val="24"/>
          <w:highlight w:val="none"/>
        </w:rPr>
        <w:t>（2）投标人须知；</w:t>
      </w:r>
    </w:p>
    <w:p w14:paraId="364D7BBD">
      <w:pPr>
        <w:snapToGrid w:val="0"/>
        <w:spacing w:line="440" w:lineRule="exact"/>
        <w:ind w:firstLine="410" w:firstLineChars="171"/>
        <w:rPr>
          <w:rFonts w:hint="eastAsia" w:ascii="宋体" w:eastAsia="宋体" w:cs="宋体"/>
          <w:sz w:val="24"/>
          <w:highlight w:val="none"/>
        </w:rPr>
      </w:pPr>
      <w:r>
        <w:rPr>
          <w:rFonts w:hint="eastAsia" w:ascii="宋体" w:eastAsia="宋体" w:cs="宋体"/>
          <w:sz w:val="24"/>
          <w:highlight w:val="none"/>
        </w:rPr>
        <w:t>（3）评标办法；</w:t>
      </w:r>
    </w:p>
    <w:p w14:paraId="3CFD5219">
      <w:pPr>
        <w:snapToGrid w:val="0"/>
        <w:spacing w:line="440" w:lineRule="exact"/>
        <w:ind w:firstLine="410" w:firstLineChars="171"/>
        <w:rPr>
          <w:rFonts w:hint="eastAsia" w:ascii="宋体" w:eastAsia="宋体" w:cs="宋体"/>
          <w:sz w:val="24"/>
          <w:highlight w:val="none"/>
        </w:rPr>
      </w:pPr>
      <w:r>
        <w:rPr>
          <w:rFonts w:hint="eastAsia" w:ascii="宋体" w:eastAsia="宋体" w:cs="宋体"/>
          <w:sz w:val="24"/>
          <w:highlight w:val="none"/>
        </w:rPr>
        <w:t>（4）合同主要条款；</w:t>
      </w:r>
    </w:p>
    <w:p w14:paraId="4C9B07A5">
      <w:pPr>
        <w:snapToGrid w:val="0"/>
        <w:spacing w:line="440" w:lineRule="exact"/>
        <w:ind w:firstLine="410" w:firstLineChars="171"/>
        <w:rPr>
          <w:rFonts w:hint="eastAsia" w:ascii="宋体" w:eastAsia="宋体" w:cs="宋体"/>
          <w:sz w:val="24"/>
          <w:highlight w:val="none"/>
        </w:rPr>
      </w:pPr>
      <w:r>
        <w:rPr>
          <w:rFonts w:hint="eastAsia" w:ascii="宋体" w:eastAsia="宋体" w:cs="宋体"/>
          <w:sz w:val="24"/>
          <w:highlight w:val="none"/>
        </w:rPr>
        <w:t>（</w:t>
      </w:r>
      <w:r>
        <w:rPr>
          <w:rFonts w:hint="eastAsia" w:ascii="宋体" w:cs="宋体"/>
          <w:sz w:val="24"/>
          <w:highlight w:val="none"/>
          <w:lang w:val="en-US" w:eastAsia="zh-CN"/>
        </w:rPr>
        <w:t>5</w:t>
      </w:r>
      <w:r>
        <w:rPr>
          <w:rFonts w:hint="eastAsia" w:ascii="宋体" w:eastAsia="宋体" w:cs="宋体"/>
          <w:sz w:val="24"/>
          <w:highlight w:val="none"/>
        </w:rPr>
        <w:t>）投标文件格式。</w:t>
      </w:r>
    </w:p>
    <w:p w14:paraId="74ABD9DE">
      <w:pPr>
        <w:snapToGrid w:val="0"/>
        <w:spacing w:line="440" w:lineRule="exact"/>
        <w:ind w:firstLine="480" w:firstLineChars="200"/>
        <w:rPr>
          <w:rFonts w:hint="eastAsia" w:ascii="宋体" w:eastAsia="宋体" w:cs="宋体"/>
          <w:sz w:val="24"/>
          <w:highlight w:val="none"/>
        </w:rPr>
      </w:pPr>
      <w:r>
        <w:rPr>
          <w:rFonts w:hint="eastAsia" w:ascii="宋体" w:eastAsia="宋体" w:cs="宋体"/>
          <w:sz w:val="24"/>
          <w:highlight w:val="none"/>
        </w:rPr>
        <w:t>根据本章第2.2款和第2.3款对招标文件所作的澄清、修改，构成招标文件的组成部分。</w:t>
      </w:r>
    </w:p>
    <w:p w14:paraId="64B716B7">
      <w:pPr>
        <w:snapToGrid w:val="0"/>
        <w:spacing w:line="440" w:lineRule="exact"/>
        <w:jc w:val="left"/>
        <w:rPr>
          <w:rFonts w:hint="eastAsia" w:ascii="宋体" w:eastAsia="宋体" w:cs="宋体"/>
          <w:b/>
          <w:bCs/>
          <w:sz w:val="24"/>
          <w:highlight w:val="none"/>
        </w:rPr>
      </w:pPr>
      <w:r>
        <w:rPr>
          <w:rFonts w:hint="eastAsia" w:ascii="宋体" w:eastAsia="宋体" w:cs="宋体"/>
          <w:b/>
          <w:bCs/>
          <w:sz w:val="24"/>
          <w:highlight w:val="none"/>
        </w:rPr>
        <w:t>2.2投标人的风险</w:t>
      </w:r>
    </w:p>
    <w:p w14:paraId="264B9947">
      <w:pPr>
        <w:pStyle w:val="14"/>
        <w:snapToGrid w:val="0"/>
        <w:spacing w:line="360" w:lineRule="auto"/>
        <w:ind w:firstLine="426"/>
        <w:rPr>
          <w:bCs/>
          <w:sz w:val="24"/>
          <w:szCs w:val="24"/>
          <w:highlight w:val="none"/>
        </w:rPr>
      </w:pPr>
      <w:r>
        <w:rPr>
          <w:rFonts w:hint="eastAsia"/>
          <w:bCs/>
          <w:sz w:val="24"/>
          <w:szCs w:val="24"/>
          <w:highlight w:val="none"/>
        </w:rPr>
        <w:t>1. 投标截止时间前，投标人未将“电子加密投标文件” 成功上传至“</w:t>
      </w:r>
      <w:r>
        <w:rPr>
          <w:rFonts w:hint="eastAsia"/>
          <w:sz w:val="24"/>
          <w:highlight w:val="none"/>
        </w:rPr>
        <w:t>化工云商网（巨化数字化招采平台）</w:t>
      </w:r>
      <w:r>
        <w:rPr>
          <w:rFonts w:hint="eastAsia"/>
          <w:bCs/>
          <w:sz w:val="24"/>
          <w:szCs w:val="24"/>
          <w:highlight w:val="none"/>
        </w:rPr>
        <w:t>”的，投标无效。</w:t>
      </w:r>
    </w:p>
    <w:p w14:paraId="415E893F">
      <w:pPr>
        <w:pStyle w:val="14"/>
        <w:snapToGrid w:val="0"/>
        <w:spacing w:line="360" w:lineRule="auto"/>
        <w:ind w:firstLine="426"/>
        <w:rPr>
          <w:sz w:val="24"/>
          <w:szCs w:val="24"/>
          <w:highlight w:val="none"/>
        </w:rPr>
      </w:pPr>
      <w:r>
        <w:rPr>
          <w:rFonts w:hint="eastAsia"/>
          <w:bCs/>
          <w:sz w:val="24"/>
          <w:szCs w:val="24"/>
          <w:highlight w:val="none"/>
        </w:rPr>
        <w:t>2.投标人没有按照招标文件要求提供全部资料，或者投标人没有对招标文件在各方面作出实质性响应是投标人的风险，并可能导致其投标无效。</w:t>
      </w:r>
    </w:p>
    <w:p w14:paraId="0BE7CD40">
      <w:pPr>
        <w:pStyle w:val="36"/>
        <w:snapToGrid w:val="0"/>
        <w:spacing w:before="0" w:after="0" w:line="440" w:lineRule="exact"/>
        <w:rPr>
          <w:rFonts w:hint="eastAsia" w:ascii="宋体" w:eastAsia="宋体" w:cs="宋体"/>
          <w:sz w:val="24"/>
          <w:highlight w:val="none"/>
        </w:rPr>
      </w:pPr>
      <w:r>
        <w:rPr>
          <w:rFonts w:hint="eastAsia" w:ascii="宋体" w:eastAsia="宋体" w:cs="宋体"/>
          <w:sz w:val="24"/>
          <w:highlight w:val="none"/>
        </w:rPr>
        <w:t>2.3 招标文件的澄清</w:t>
      </w:r>
    </w:p>
    <w:p w14:paraId="2A87EF1F">
      <w:pPr>
        <w:pStyle w:val="14"/>
        <w:snapToGrid w:val="0"/>
        <w:spacing w:line="360" w:lineRule="auto"/>
        <w:ind w:firstLine="426"/>
        <w:rPr>
          <w:sz w:val="24"/>
          <w:szCs w:val="24"/>
          <w:highlight w:val="none"/>
        </w:rPr>
      </w:pPr>
      <w:bookmarkStart w:id="5" w:name="_Toc81196557"/>
      <w:r>
        <w:rPr>
          <w:sz w:val="24"/>
          <w:szCs w:val="24"/>
          <w:highlight w:val="none"/>
        </w:rPr>
        <w:t>1.</w:t>
      </w:r>
      <w:r>
        <w:rPr>
          <w:bCs/>
          <w:sz w:val="24"/>
          <w:szCs w:val="24"/>
          <w:highlight w:val="none"/>
        </w:rPr>
        <w:t>投标人应认真阅读本招标文件，发现其中有</w:t>
      </w:r>
      <w:r>
        <w:rPr>
          <w:sz w:val="24"/>
          <w:szCs w:val="24"/>
          <w:highlight w:val="none"/>
        </w:rPr>
        <w:t>表述不清晰、前后矛盾等内容的</w:t>
      </w:r>
      <w:r>
        <w:rPr>
          <w:bCs/>
          <w:sz w:val="24"/>
          <w:szCs w:val="24"/>
          <w:highlight w:val="none"/>
        </w:rPr>
        <w:t>，投标人可以</w:t>
      </w:r>
      <w:r>
        <w:rPr>
          <w:sz w:val="24"/>
          <w:szCs w:val="24"/>
          <w:highlight w:val="none"/>
        </w:rPr>
        <w:t>在投标截止日</w:t>
      </w:r>
      <w:r>
        <w:rPr>
          <w:rFonts w:hint="eastAsia"/>
          <w:sz w:val="24"/>
          <w:szCs w:val="24"/>
          <w:highlight w:val="none"/>
        </w:rPr>
        <w:t>5</w:t>
      </w:r>
      <w:r>
        <w:rPr>
          <w:sz w:val="24"/>
          <w:szCs w:val="24"/>
          <w:highlight w:val="none"/>
        </w:rPr>
        <w:t>天前</w:t>
      </w:r>
      <w:r>
        <w:rPr>
          <w:bCs/>
          <w:sz w:val="24"/>
          <w:szCs w:val="24"/>
          <w:highlight w:val="none"/>
        </w:rPr>
        <w:t>以书面形式要求招标人澄清</w:t>
      </w:r>
      <w:r>
        <w:rPr>
          <w:sz w:val="24"/>
          <w:szCs w:val="24"/>
          <w:highlight w:val="none"/>
        </w:rPr>
        <w:t>。</w:t>
      </w:r>
    </w:p>
    <w:p w14:paraId="2CB40DAC">
      <w:pPr>
        <w:pStyle w:val="14"/>
        <w:snapToGrid w:val="0"/>
        <w:spacing w:line="360" w:lineRule="auto"/>
        <w:ind w:firstLine="426"/>
        <w:rPr>
          <w:sz w:val="24"/>
          <w:szCs w:val="24"/>
          <w:highlight w:val="none"/>
        </w:rPr>
      </w:pPr>
      <w:r>
        <w:rPr>
          <w:sz w:val="24"/>
          <w:szCs w:val="24"/>
          <w:highlight w:val="none"/>
        </w:rPr>
        <w:t>2.招标人以书面形式答复投标人要求澄清的问题，并将不包含问题来源的答复书面通知所有购买招标文件的投标人；除书面答复以外的其他澄清方式及澄清内容均无效。</w:t>
      </w:r>
    </w:p>
    <w:p w14:paraId="65C93371">
      <w:pPr>
        <w:pStyle w:val="14"/>
        <w:snapToGrid w:val="0"/>
        <w:spacing w:line="360" w:lineRule="auto"/>
        <w:ind w:firstLine="426"/>
        <w:rPr>
          <w:sz w:val="24"/>
          <w:szCs w:val="24"/>
          <w:highlight w:val="none"/>
        </w:rPr>
      </w:pPr>
      <w:r>
        <w:rPr>
          <w:sz w:val="24"/>
          <w:szCs w:val="24"/>
          <w:highlight w:val="none"/>
        </w:rPr>
        <w:t>3.招标文件澄清、修改的内容为招标文件的组成部分。当招标文件与招标文件的澄清、修改通知就同一内容的表述不一致时，以最后发出的书面文件为准。</w:t>
      </w:r>
    </w:p>
    <w:p w14:paraId="25846094">
      <w:pPr>
        <w:pStyle w:val="14"/>
        <w:snapToGrid w:val="0"/>
        <w:spacing w:line="360" w:lineRule="auto"/>
        <w:ind w:firstLine="426"/>
        <w:rPr>
          <w:sz w:val="24"/>
          <w:szCs w:val="24"/>
          <w:highlight w:val="none"/>
        </w:rPr>
      </w:pPr>
      <w:r>
        <w:rPr>
          <w:sz w:val="24"/>
          <w:szCs w:val="24"/>
          <w:highlight w:val="none"/>
        </w:rPr>
        <w:t>4.招标文件的澄清、修改都应该通过本项目招标代理机构发布。</w:t>
      </w:r>
    </w:p>
    <w:bookmarkEnd w:id="5"/>
    <w:p w14:paraId="45CAE13F">
      <w:pPr>
        <w:pStyle w:val="37"/>
        <w:snapToGrid w:val="0"/>
        <w:spacing w:before="0" w:after="0" w:line="440" w:lineRule="exact"/>
        <w:rPr>
          <w:rFonts w:hint="eastAsia" w:ascii="宋体" w:eastAsia="宋体" w:cs="宋体"/>
          <w:sz w:val="24"/>
          <w:highlight w:val="none"/>
        </w:rPr>
      </w:pPr>
      <w:r>
        <w:rPr>
          <w:rFonts w:hint="eastAsia" w:ascii="宋体" w:eastAsia="宋体" w:cs="宋体"/>
          <w:b w:val="0"/>
          <w:sz w:val="24"/>
          <w:highlight w:val="none"/>
        </w:rPr>
        <w:t>3</w:t>
      </w:r>
      <w:r>
        <w:rPr>
          <w:rFonts w:hint="eastAsia" w:ascii="宋体" w:eastAsia="宋体" w:cs="宋体"/>
          <w:sz w:val="24"/>
          <w:highlight w:val="none"/>
        </w:rPr>
        <w:t xml:space="preserve"> 投标文件</w:t>
      </w:r>
    </w:p>
    <w:p w14:paraId="7CA1F3E8">
      <w:pPr>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w:t>
      </w:r>
      <w:r>
        <w:rPr>
          <w:rFonts w:hint="eastAsia" w:ascii="宋体" w:eastAsia="宋体" w:cs="宋体"/>
          <w:b/>
          <w:bCs/>
          <w:sz w:val="24"/>
          <w:highlight w:val="none"/>
        </w:rPr>
        <w:t>3.1 投标文件的组成</w:t>
      </w:r>
      <w:r>
        <w:rPr>
          <w:rFonts w:hint="eastAsia" w:ascii="宋体" w:eastAsia="宋体" w:cs="宋体"/>
          <w:sz w:val="24"/>
          <w:highlight w:val="none"/>
        </w:rPr>
        <w:t xml:space="preserve"> </w:t>
      </w:r>
    </w:p>
    <w:p w14:paraId="7B8F395C">
      <w:pPr>
        <w:spacing w:line="360" w:lineRule="auto"/>
        <w:ind w:firstLine="482" w:firstLineChars="200"/>
        <w:rPr>
          <w:rFonts w:ascii="宋体" w:cs="宋体"/>
          <w:b/>
          <w:sz w:val="24"/>
        </w:rPr>
      </w:pPr>
      <w:r>
        <w:rPr>
          <w:rFonts w:hint="eastAsia" w:ascii="宋体" w:cs="宋体"/>
          <w:b/>
          <w:sz w:val="24"/>
        </w:rPr>
        <w:t>投标文件由技术资信文件（</w:t>
      </w:r>
      <w:r>
        <w:rPr>
          <w:rFonts w:hint="eastAsia" w:ascii="宋体" w:cs="宋体"/>
          <w:b/>
          <w:bCs/>
          <w:sz w:val="24"/>
          <w:lang w:val="zh-CN"/>
        </w:rPr>
        <w:t>符合性审查文件、技术文件</w:t>
      </w:r>
      <w:r>
        <w:rPr>
          <w:rFonts w:hint="eastAsia" w:ascii="宋体" w:cs="宋体"/>
          <w:b/>
          <w:sz w:val="24"/>
        </w:rPr>
        <w:t>）和商务经济文件两部分组成。</w:t>
      </w:r>
    </w:p>
    <w:p w14:paraId="32A371A5">
      <w:pPr>
        <w:widowControl/>
        <w:spacing w:line="360" w:lineRule="auto"/>
        <w:textAlignment w:val="baseline"/>
        <w:rPr>
          <w:rFonts w:hint="eastAsia" w:ascii="宋体" w:cs="宋体"/>
          <w:b/>
          <w:sz w:val="24"/>
        </w:rPr>
      </w:pPr>
      <w:r>
        <w:rPr>
          <w:rFonts w:hint="eastAsia" w:ascii="宋体" w:cs="宋体"/>
          <w:b/>
          <w:bCs/>
          <w:sz w:val="24"/>
          <w:lang w:val="zh-CN"/>
        </w:rPr>
        <w:t>其中符合性审查文件、技术文件</w:t>
      </w:r>
      <w:r>
        <w:rPr>
          <w:rFonts w:hint="eastAsia" w:ascii="宋体" w:cs="宋体"/>
          <w:b/>
          <w:bCs/>
          <w:sz w:val="24"/>
        </w:rPr>
        <w:t>合并</w:t>
      </w:r>
      <w:r>
        <w:rPr>
          <w:rFonts w:hint="eastAsia" w:ascii="宋体" w:cs="宋体"/>
          <w:b/>
          <w:bCs/>
          <w:sz w:val="24"/>
          <w:lang w:val="zh-CN"/>
        </w:rPr>
        <w:t>上传至技术资信客户端；商务经济文件制作为上传至商务经济客户端；</w:t>
      </w:r>
    </w:p>
    <w:p w14:paraId="262EB36D">
      <w:pPr>
        <w:spacing w:line="440" w:lineRule="exact"/>
        <w:ind w:firstLine="241" w:firstLineChars="100"/>
        <w:rPr>
          <w:rFonts w:hint="eastAsia" w:cs="宋体"/>
          <w:sz w:val="24"/>
          <w:szCs w:val="24"/>
          <w:lang w:val="zh-CN"/>
        </w:rPr>
      </w:pPr>
      <w:r>
        <w:rPr>
          <w:rFonts w:hint="eastAsia" w:cs="宋体"/>
          <w:b/>
          <w:sz w:val="24"/>
          <w:szCs w:val="24"/>
        </w:rPr>
        <w:t>技术资信文件</w:t>
      </w:r>
      <w:r>
        <w:rPr>
          <w:rFonts w:hint="eastAsia" w:cs="宋体"/>
          <w:sz w:val="24"/>
          <w:szCs w:val="24"/>
          <w:lang w:val="zh-CN"/>
        </w:rPr>
        <w:t>中必须包括：</w:t>
      </w:r>
    </w:p>
    <w:p w14:paraId="785902E6">
      <w:pPr>
        <w:spacing w:line="440" w:lineRule="exact"/>
        <w:ind w:firstLine="240" w:firstLineChars="100"/>
        <w:rPr>
          <w:rFonts w:hint="eastAsia" w:ascii="宋体" w:eastAsia="宋体" w:cs="宋体"/>
          <w:sz w:val="24"/>
          <w:szCs w:val="21"/>
          <w:highlight w:val="none"/>
        </w:rPr>
      </w:pPr>
      <w:r>
        <w:rPr>
          <w:rFonts w:hint="eastAsia" w:ascii="宋体" w:eastAsia="宋体" w:cs="宋体"/>
          <w:sz w:val="24"/>
          <w:highlight w:val="none"/>
        </w:rPr>
        <w:t>（一）</w:t>
      </w:r>
      <w:r>
        <w:rPr>
          <w:rFonts w:hint="eastAsia" w:ascii="宋体" w:cs="宋体"/>
          <w:b/>
          <w:sz w:val="24"/>
          <w:highlight w:val="none"/>
          <w:lang w:eastAsia="zh-CN"/>
        </w:rPr>
        <w:t>符合性审查文件</w:t>
      </w:r>
      <w:r>
        <w:rPr>
          <w:rFonts w:hint="eastAsia" w:ascii="宋体" w:eastAsia="宋体" w:cs="宋体"/>
          <w:sz w:val="24"/>
          <w:highlight w:val="none"/>
        </w:rPr>
        <w:t>：投标单位必须满足下列资格审查的所有条件，有一项不满足的，资格审查不予通过。资格审查未通过的，投标文件作</w:t>
      </w:r>
      <w:r>
        <w:rPr>
          <w:rFonts w:hint="eastAsia" w:ascii="宋体" w:eastAsia="宋体" w:cs="宋体"/>
          <w:b/>
          <w:sz w:val="24"/>
          <w:highlight w:val="none"/>
        </w:rPr>
        <w:t>否决</w:t>
      </w:r>
      <w:r>
        <w:rPr>
          <w:rFonts w:hint="eastAsia" w:ascii="宋体" w:eastAsia="宋体" w:cs="宋体"/>
          <w:sz w:val="24"/>
          <w:highlight w:val="none"/>
        </w:rPr>
        <w:t>处理。</w:t>
      </w:r>
    </w:p>
    <w:p w14:paraId="1AFD5733">
      <w:pPr>
        <w:snapToGrid w:val="0"/>
        <w:spacing w:line="420" w:lineRule="exact"/>
        <w:ind w:firstLine="240" w:firstLineChars="100"/>
        <w:jc w:val="left"/>
        <w:rPr>
          <w:rFonts w:hint="eastAsia" w:ascii="宋体" w:eastAsia="宋体" w:cs="宋体"/>
          <w:sz w:val="24"/>
          <w:szCs w:val="21"/>
          <w:highlight w:val="none"/>
        </w:rPr>
      </w:pPr>
      <w:r>
        <w:rPr>
          <w:rFonts w:hint="eastAsia" w:ascii="宋体" w:eastAsia="宋体" w:cs="宋体"/>
          <w:sz w:val="24"/>
          <w:szCs w:val="21"/>
          <w:highlight w:val="none"/>
        </w:rPr>
        <w:t>①投标人资格承诺函（格式见附件）；</w:t>
      </w:r>
    </w:p>
    <w:p w14:paraId="2BA40092">
      <w:pPr>
        <w:snapToGrid w:val="0"/>
        <w:spacing w:line="420" w:lineRule="exact"/>
        <w:ind w:firstLine="240" w:firstLineChars="100"/>
        <w:jc w:val="left"/>
        <w:rPr>
          <w:rFonts w:hint="eastAsia" w:ascii="宋体" w:eastAsia="宋体" w:cs="宋体"/>
          <w:sz w:val="24"/>
          <w:szCs w:val="21"/>
          <w:highlight w:val="none"/>
        </w:rPr>
      </w:pPr>
      <w:r>
        <w:rPr>
          <w:rFonts w:hint="eastAsia" w:ascii="宋体" w:eastAsia="宋体" w:cs="宋体"/>
          <w:sz w:val="24"/>
          <w:szCs w:val="21"/>
          <w:highlight w:val="none"/>
          <w:lang w:val="en-US" w:eastAsia="zh-CN"/>
        </w:rPr>
        <w:t>②</w:t>
      </w:r>
      <w:r>
        <w:rPr>
          <w:rFonts w:hint="eastAsia" w:ascii="宋体" w:eastAsia="宋体" w:cs="宋体"/>
          <w:sz w:val="24"/>
          <w:szCs w:val="21"/>
          <w:highlight w:val="none"/>
          <w:lang w:val="zh-CN"/>
        </w:rPr>
        <w:t>法定代表人身份证明或法定代表人授权委托书法定代表人授权委托书；</w:t>
      </w:r>
    </w:p>
    <w:p w14:paraId="7921D2C1">
      <w:pPr>
        <w:snapToGrid w:val="0"/>
        <w:spacing w:line="420" w:lineRule="exact"/>
        <w:ind w:firstLine="240" w:firstLineChars="100"/>
        <w:jc w:val="left"/>
        <w:rPr>
          <w:rFonts w:hint="eastAsia" w:ascii="宋体" w:eastAsia="宋体" w:cs="宋体"/>
          <w:sz w:val="24"/>
          <w:szCs w:val="21"/>
          <w:highlight w:val="none"/>
        </w:rPr>
      </w:pPr>
      <w:r>
        <w:rPr>
          <w:rFonts w:hint="eastAsia" w:ascii="宋体" w:eastAsia="宋体" w:cs="宋体"/>
          <w:sz w:val="24"/>
          <w:szCs w:val="21"/>
          <w:highlight w:val="none"/>
          <w:lang w:val="en-US" w:eastAsia="zh-CN"/>
        </w:rPr>
        <w:t>③</w:t>
      </w:r>
      <w:r>
        <w:rPr>
          <w:rFonts w:hint="eastAsia" w:ascii="宋体" w:eastAsia="宋体" w:cs="宋体"/>
          <w:sz w:val="24"/>
          <w:szCs w:val="21"/>
          <w:highlight w:val="none"/>
          <w:lang w:val="zh-CN"/>
        </w:rPr>
        <w:t>投标声明书（格式见附件）</w:t>
      </w:r>
    </w:p>
    <w:p w14:paraId="27BF20C4">
      <w:pPr>
        <w:snapToGrid w:val="0"/>
        <w:spacing w:line="420" w:lineRule="exact"/>
        <w:ind w:firstLine="240" w:firstLineChars="100"/>
        <w:jc w:val="left"/>
        <w:rPr>
          <w:rFonts w:hint="eastAsia" w:ascii="宋体" w:eastAsia="宋体" w:cs="宋体"/>
          <w:sz w:val="24"/>
          <w:szCs w:val="21"/>
          <w:highlight w:val="none"/>
        </w:rPr>
      </w:pPr>
      <w:r>
        <w:rPr>
          <w:rFonts w:hint="eastAsia" w:ascii="宋体" w:eastAsia="宋体" w:cs="宋体"/>
          <w:sz w:val="24"/>
          <w:szCs w:val="21"/>
          <w:highlight w:val="none"/>
          <w:lang w:val="en-US" w:eastAsia="zh-CN"/>
        </w:rPr>
        <w:t>④</w:t>
      </w:r>
      <w:r>
        <w:rPr>
          <w:rFonts w:hint="eastAsia" w:ascii="宋体" w:eastAsia="宋体" w:cs="宋体"/>
          <w:sz w:val="24"/>
          <w:szCs w:val="21"/>
          <w:highlight w:val="none"/>
        </w:rPr>
        <w:t>本次招标要求投标人须具有危险废物经营许可证，且经营危废类别中含有招标服务类型至少一种废物代码；</w:t>
      </w:r>
    </w:p>
    <w:p w14:paraId="7478CB3F">
      <w:pPr>
        <w:snapToGrid w:val="0"/>
        <w:spacing w:line="420" w:lineRule="exact"/>
        <w:ind w:firstLine="240" w:firstLineChars="100"/>
        <w:jc w:val="left"/>
        <w:rPr>
          <w:rFonts w:hint="eastAsia" w:ascii="宋体" w:eastAsia="宋体" w:cs="宋体"/>
          <w:sz w:val="24"/>
          <w:szCs w:val="21"/>
          <w:highlight w:val="none"/>
        </w:rPr>
      </w:pPr>
      <w:r>
        <w:rPr>
          <w:rFonts w:hint="eastAsia" w:ascii="宋体" w:cs="宋体"/>
          <w:sz w:val="24"/>
          <w:szCs w:val="21"/>
          <w:highlight w:val="none"/>
          <w:lang w:val="en-US" w:eastAsia="zh-CN"/>
        </w:rPr>
        <w:t>⑤</w:t>
      </w:r>
      <w:r>
        <w:rPr>
          <w:rFonts w:hint="eastAsia" w:ascii="宋体" w:eastAsia="宋体" w:cs="宋体"/>
          <w:sz w:val="24"/>
          <w:szCs w:val="21"/>
          <w:highlight w:val="none"/>
        </w:rPr>
        <w:t>投标人具有独立法人资格，有效的营业执照且具备从事本项目的处置能力；①企业介绍信、法人委托书、被委托人身份证原件及复印件；②企业营业执照副本复印件等相关证明文件</w:t>
      </w:r>
    </w:p>
    <w:p w14:paraId="49D2AFE4">
      <w:pPr>
        <w:snapToGrid w:val="0"/>
        <w:spacing w:line="400" w:lineRule="exact"/>
        <w:ind w:firstLine="240" w:firstLineChars="100"/>
        <w:jc w:val="left"/>
        <w:rPr>
          <w:rFonts w:hint="eastAsia" w:ascii="宋体" w:eastAsia="宋体" w:cs="宋体"/>
          <w:sz w:val="24"/>
          <w:szCs w:val="21"/>
          <w:highlight w:val="none"/>
        </w:rPr>
      </w:pPr>
      <w:r>
        <w:rPr>
          <w:rFonts w:hint="eastAsia" w:ascii="宋体" w:cs="宋体"/>
          <w:sz w:val="24"/>
          <w:szCs w:val="21"/>
          <w:highlight w:val="none"/>
          <w:lang w:val="en-US" w:eastAsia="zh-CN"/>
        </w:rPr>
        <w:t>⑥</w:t>
      </w:r>
      <w:r>
        <w:rPr>
          <w:rFonts w:hint="eastAsia" w:ascii="宋体" w:eastAsia="宋体" w:cs="宋体"/>
          <w:sz w:val="24"/>
          <w:szCs w:val="21"/>
          <w:highlight w:val="none"/>
        </w:rPr>
        <w:t>投标人工机具齐全；（须提供危险废物运输服务合同（或协议）及运输单位的危废运输资质，需保证车辆设备的适应性，并符合交通运行及环保要求，运输车辆按照规定安装GPS；同时按《中华人民共和国固体废物污染环境防治法》要求实施危废处置利用转移联单运输等相关证明材料）</w:t>
      </w:r>
    </w:p>
    <w:p w14:paraId="56AECF6F">
      <w:pPr>
        <w:spacing w:line="440" w:lineRule="exact"/>
        <w:ind w:firstLine="240" w:firstLineChars="100"/>
        <w:contextualSpacing/>
        <w:jc w:val="left"/>
        <w:rPr>
          <w:rFonts w:hint="eastAsia" w:ascii="宋体" w:eastAsia="宋体" w:cs="宋体"/>
          <w:sz w:val="24"/>
          <w:szCs w:val="21"/>
          <w:highlight w:val="none"/>
        </w:rPr>
      </w:pPr>
      <w:r>
        <w:rPr>
          <w:rFonts w:hint="eastAsia" w:ascii="宋体" w:cs="宋体"/>
          <w:sz w:val="24"/>
          <w:szCs w:val="21"/>
          <w:highlight w:val="none"/>
          <w:lang w:val="en-US" w:eastAsia="zh-CN"/>
        </w:rPr>
        <w:t>⑦</w:t>
      </w:r>
      <w:r>
        <w:rPr>
          <w:rFonts w:hint="eastAsia" w:ascii="宋体" w:eastAsia="宋体" w:cs="宋体"/>
          <w:sz w:val="24"/>
          <w:szCs w:val="21"/>
          <w:highlight w:val="none"/>
        </w:rPr>
        <w:t>在巨化集团内无拖欠工资、盗窃等不良行为记录；（需附承若书或证明材料）</w:t>
      </w:r>
    </w:p>
    <w:p w14:paraId="462AA60E">
      <w:pPr>
        <w:spacing w:line="440" w:lineRule="exact"/>
        <w:ind w:firstLine="240" w:firstLineChars="100"/>
        <w:contextualSpacing/>
        <w:jc w:val="left"/>
        <w:rPr>
          <w:rFonts w:hint="eastAsia" w:ascii="宋体" w:eastAsia="宋体" w:cs="宋体"/>
          <w:sz w:val="24"/>
          <w:szCs w:val="21"/>
          <w:highlight w:val="none"/>
        </w:rPr>
      </w:pPr>
      <w:r>
        <w:rPr>
          <w:rFonts w:hint="eastAsia" w:ascii="宋体" w:cs="宋体"/>
          <w:sz w:val="24"/>
          <w:szCs w:val="21"/>
          <w:highlight w:val="none"/>
          <w:lang w:val="en-US" w:eastAsia="zh-CN"/>
        </w:rPr>
        <w:t>⑧</w:t>
      </w:r>
      <w:r>
        <w:rPr>
          <w:rFonts w:hint="eastAsia" w:ascii="宋体" w:eastAsia="宋体" w:cs="Times New Roman"/>
          <w:color w:val="auto"/>
          <w:sz w:val="24"/>
          <w:lang w:val="zh-CN" w:eastAsia="zh-CN"/>
        </w:rPr>
        <w:t>提供供应商（服务商）承诺书</w:t>
      </w:r>
      <w:r>
        <w:rPr>
          <w:rFonts w:hint="eastAsia" w:ascii="宋体" w:eastAsia="宋体" w:cs="Times New Roman"/>
          <w:color w:val="auto"/>
          <w:sz w:val="24"/>
          <w:lang w:val="en-US" w:eastAsia="zh-CN"/>
        </w:rPr>
        <w:t>或廉洁承诺书</w:t>
      </w:r>
      <w:r>
        <w:rPr>
          <w:rFonts w:hint="eastAsia" w:ascii="宋体" w:eastAsia="宋体" w:cs="Times New Roman"/>
          <w:color w:val="auto"/>
          <w:sz w:val="24"/>
          <w:lang w:val="zh-CN" w:eastAsia="zh-CN"/>
        </w:rPr>
        <w:t>（格式见附件）</w:t>
      </w:r>
    </w:p>
    <w:p w14:paraId="0832F362">
      <w:pPr>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（二）</w:t>
      </w:r>
      <w:r>
        <w:rPr>
          <w:rFonts w:hint="eastAsia" w:ascii="宋体" w:cs="宋体"/>
          <w:b/>
          <w:bCs/>
          <w:sz w:val="24"/>
          <w:highlight w:val="none"/>
          <w:lang w:eastAsia="zh-CN"/>
        </w:rPr>
        <w:t>技术资信</w:t>
      </w:r>
      <w:r>
        <w:rPr>
          <w:rFonts w:hint="eastAsia" w:ascii="宋体" w:eastAsia="宋体" w:cs="宋体"/>
          <w:b/>
          <w:bCs/>
          <w:sz w:val="24"/>
          <w:highlight w:val="none"/>
        </w:rPr>
        <w:t>文件</w:t>
      </w:r>
      <w:r>
        <w:rPr>
          <w:rFonts w:hint="eastAsia" w:ascii="宋体" w:eastAsia="宋体" w:cs="宋体"/>
          <w:sz w:val="24"/>
          <w:highlight w:val="none"/>
        </w:rPr>
        <w:t>中必须包括以下内容，装订时请依照本文所述次序排列：</w:t>
      </w:r>
    </w:p>
    <w:p w14:paraId="7175F31F">
      <w:pPr>
        <w:pStyle w:val="2"/>
        <w:rPr>
          <w:rFonts w:hint="eastAsia" w:ascii="宋体" w:eastAsia="宋体" w:cs="宋体"/>
          <w:sz w:val="24"/>
          <w:szCs w:val="24"/>
          <w:highlight w:val="none"/>
        </w:rPr>
      </w:pPr>
      <w:r>
        <w:rPr>
          <w:rFonts w:hint="eastAsia" w:ascii="宋体" w:eastAsia="宋体" w:cs="宋体"/>
          <w:sz w:val="24"/>
          <w:szCs w:val="24"/>
          <w:highlight w:val="none"/>
        </w:rPr>
        <w:t>自评分（格式自拟）</w:t>
      </w:r>
    </w:p>
    <w:p w14:paraId="21A04770">
      <w:pPr>
        <w:spacing w:line="440" w:lineRule="exact"/>
        <w:rPr>
          <w:rFonts w:hint="eastAsia" w:ascii="宋体" w:eastAsia="宋体" w:cs="宋体"/>
          <w:sz w:val="24"/>
          <w:highlight w:val="none"/>
        </w:rPr>
      </w:pPr>
      <w:r>
        <w:rPr>
          <w:rFonts w:hint="eastAsia" w:ascii="宋体" w:eastAsia="宋体" w:cs="宋体"/>
          <w:sz w:val="24"/>
          <w:highlight w:val="none"/>
        </w:rPr>
        <w:t>（1）企业实力；</w:t>
      </w:r>
    </w:p>
    <w:p w14:paraId="694B15BD">
      <w:pPr>
        <w:spacing w:line="440" w:lineRule="exact"/>
        <w:rPr>
          <w:rFonts w:hint="eastAsia" w:ascii="宋体" w:eastAsia="宋体" w:cs="宋体"/>
          <w:sz w:val="24"/>
          <w:highlight w:val="none"/>
        </w:rPr>
      </w:pPr>
      <w:r>
        <w:rPr>
          <w:rFonts w:hint="eastAsia" w:ascii="宋体" w:eastAsia="宋体" w:cs="宋体"/>
          <w:sz w:val="24"/>
          <w:highlight w:val="none"/>
        </w:rPr>
        <w:t>（2）企业环境信用评级；</w:t>
      </w:r>
    </w:p>
    <w:p w14:paraId="05C7E675">
      <w:pPr>
        <w:spacing w:line="440" w:lineRule="exact"/>
        <w:rPr>
          <w:rFonts w:hint="eastAsia" w:ascii="宋体" w:eastAsia="宋体" w:cs="宋体"/>
          <w:sz w:val="24"/>
          <w:highlight w:val="none"/>
        </w:rPr>
      </w:pPr>
      <w:r>
        <w:rPr>
          <w:rFonts w:hint="eastAsia" w:ascii="宋体" w:eastAsia="宋体" w:cs="宋体"/>
          <w:sz w:val="24"/>
          <w:highlight w:val="none"/>
        </w:rPr>
        <w:t>（3）专业获奖情况；</w:t>
      </w:r>
    </w:p>
    <w:p w14:paraId="004E0B0A">
      <w:pPr>
        <w:spacing w:line="440" w:lineRule="exact"/>
        <w:rPr>
          <w:rFonts w:hint="eastAsia" w:ascii="宋体" w:eastAsia="宋体" w:cs="宋体"/>
          <w:sz w:val="24"/>
          <w:highlight w:val="none"/>
        </w:rPr>
      </w:pPr>
      <w:r>
        <w:rPr>
          <w:rFonts w:hint="eastAsia" w:ascii="宋体" w:eastAsia="宋体" w:cs="宋体"/>
          <w:sz w:val="24"/>
          <w:highlight w:val="none"/>
        </w:rPr>
        <w:t>（4）社会责任；</w:t>
      </w:r>
    </w:p>
    <w:p w14:paraId="29063A20">
      <w:pPr>
        <w:spacing w:line="440" w:lineRule="exact"/>
        <w:rPr>
          <w:rFonts w:hint="eastAsia" w:ascii="宋体" w:eastAsia="宋体" w:cs="宋体"/>
          <w:sz w:val="24"/>
          <w:highlight w:val="none"/>
        </w:rPr>
      </w:pPr>
      <w:r>
        <w:rPr>
          <w:rFonts w:hint="eastAsia" w:ascii="宋体" w:eastAsia="宋体" w:cs="宋体"/>
          <w:sz w:val="24"/>
          <w:highlight w:val="none"/>
        </w:rPr>
        <w:t>（5）投标人业绩；</w:t>
      </w:r>
    </w:p>
    <w:p w14:paraId="621C2E97">
      <w:pPr>
        <w:spacing w:line="440" w:lineRule="exact"/>
        <w:rPr>
          <w:rFonts w:hint="eastAsia" w:ascii="宋体" w:eastAsia="宋体" w:cs="宋体"/>
          <w:sz w:val="24"/>
          <w:highlight w:val="none"/>
        </w:rPr>
      </w:pPr>
      <w:r>
        <w:rPr>
          <w:rFonts w:hint="eastAsia" w:ascii="宋体" w:eastAsia="宋体" w:cs="宋体"/>
          <w:sz w:val="24"/>
          <w:highlight w:val="none"/>
        </w:rPr>
        <w:t>（6）处置方案：包括取样运输等内容</w:t>
      </w:r>
    </w:p>
    <w:p w14:paraId="0170964A">
      <w:pPr>
        <w:spacing w:line="440" w:lineRule="exact"/>
        <w:rPr>
          <w:rFonts w:hint="eastAsia" w:ascii="宋体" w:eastAsia="宋体" w:cs="宋体"/>
          <w:sz w:val="24"/>
          <w:highlight w:val="none"/>
        </w:rPr>
      </w:pPr>
      <w:r>
        <w:rPr>
          <w:rFonts w:hint="eastAsia" w:ascii="宋体" w:eastAsia="宋体" w:cs="宋体"/>
          <w:sz w:val="24"/>
          <w:highlight w:val="none"/>
        </w:rPr>
        <w:t>（7）工艺及设备先进性：处置工艺的工艺先进性、合理性</w:t>
      </w:r>
    </w:p>
    <w:p w14:paraId="727E40EC">
      <w:pPr>
        <w:spacing w:line="440" w:lineRule="exact"/>
        <w:rPr>
          <w:rFonts w:hint="eastAsia" w:ascii="宋体" w:eastAsia="宋体" w:cs="宋体"/>
          <w:sz w:val="24"/>
          <w:highlight w:val="none"/>
        </w:rPr>
      </w:pPr>
      <w:r>
        <w:rPr>
          <w:rFonts w:hint="eastAsia" w:ascii="宋体" w:eastAsia="宋体" w:cs="宋体"/>
          <w:sz w:val="24"/>
          <w:highlight w:val="none"/>
        </w:rPr>
        <w:t>（8）人员配备：主要管理人员、作业人员配备及自有设备资源配备计划</w:t>
      </w:r>
    </w:p>
    <w:p w14:paraId="28F50585">
      <w:pPr>
        <w:spacing w:line="440" w:lineRule="exact"/>
        <w:rPr>
          <w:rFonts w:hint="eastAsia" w:ascii="宋体" w:eastAsia="宋体" w:cs="宋体"/>
          <w:sz w:val="24"/>
          <w:highlight w:val="none"/>
        </w:rPr>
      </w:pPr>
      <w:r>
        <w:rPr>
          <w:rFonts w:hint="eastAsia" w:ascii="宋体" w:eastAsia="宋体" w:cs="宋体"/>
          <w:sz w:val="24"/>
          <w:highlight w:val="none"/>
        </w:rPr>
        <w:t>（9）服务响应能力：服务快速响应程度和服务的内容、措施、承诺及距招标人最近的服务机构的详细介绍</w:t>
      </w:r>
    </w:p>
    <w:p w14:paraId="03A64FF9">
      <w:pPr>
        <w:spacing w:line="440" w:lineRule="exact"/>
        <w:rPr>
          <w:rFonts w:hint="eastAsia" w:ascii="宋体" w:eastAsia="宋体" w:cs="宋体"/>
          <w:sz w:val="24"/>
          <w:highlight w:val="none"/>
        </w:rPr>
      </w:pPr>
      <w:r>
        <w:rPr>
          <w:rFonts w:hint="eastAsia" w:ascii="宋体" w:eastAsia="宋体" w:cs="宋体"/>
          <w:sz w:val="24"/>
          <w:highlight w:val="none"/>
        </w:rPr>
        <w:t>（10）根据招标文件中的要求，需要提供的文件和资料。</w:t>
      </w:r>
    </w:p>
    <w:p w14:paraId="5CA81ACB">
      <w:pPr>
        <w:spacing w:line="440" w:lineRule="exact"/>
        <w:rPr>
          <w:rFonts w:hint="eastAsia" w:ascii="宋体" w:eastAsia="宋体" w:cs="宋体"/>
          <w:sz w:val="24"/>
          <w:highlight w:val="none"/>
        </w:rPr>
      </w:pPr>
      <w:r>
        <w:rPr>
          <w:rFonts w:hint="eastAsia" w:ascii="宋体" w:eastAsia="宋体" w:cs="宋体"/>
          <w:sz w:val="24"/>
          <w:highlight w:val="none"/>
        </w:rPr>
        <w:t>（12）投标人认为需要提供的其他文件和资料。</w:t>
      </w:r>
    </w:p>
    <w:p w14:paraId="22EB4A43">
      <w:pPr>
        <w:spacing w:line="440" w:lineRule="exact"/>
        <w:rPr>
          <w:rFonts w:hint="eastAsia" w:ascii="宋体" w:eastAsia="宋体" w:cs="宋体"/>
          <w:sz w:val="24"/>
          <w:highlight w:val="none"/>
          <w:lang w:val="zh-CN"/>
        </w:rPr>
      </w:pPr>
      <w:r>
        <w:rPr>
          <w:rFonts w:hint="eastAsia" w:ascii="宋体" w:cs="宋体"/>
          <w:b/>
          <w:bCs/>
          <w:sz w:val="24"/>
          <w:highlight w:val="none"/>
          <w:lang w:eastAsia="zh-CN"/>
        </w:rPr>
        <w:t>商务经济文件</w:t>
      </w:r>
      <w:r>
        <w:rPr>
          <w:rFonts w:hint="eastAsia" w:ascii="宋体" w:eastAsia="宋体" w:cs="宋体"/>
          <w:sz w:val="24"/>
          <w:highlight w:val="none"/>
          <w:lang w:val="zh-CN"/>
        </w:rPr>
        <w:t>中必须包括：</w:t>
      </w:r>
    </w:p>
    <w:p w14:paraId="505C5B4A">
      <w:pPr>
        <w:spacing w:line="360" w:lineRule="auto"/>
        <w:ind w:firstLine="240" w:firstLineChars="100"/>
        <w:rPr>
          <w:rFonts w:ascii="宋体" w:cs="宋体"/>
          <w:sz w:val="24"/>
          <w:lang w:val="zh-CN"/>
        </w:rPr>
      </w:pPr>
      <w:r>
        <w:rPr>
          <w:rFonts w:hint="eastAsia" w:ascii="宋体" w:cs="宋体"/>
          <w:sz w:val="24"/>
          <w:lang w:val="zh-CN"/>
        </w:rPr>
        <w:t>（1）商务经济文件封面；</w:t>
      </w:r>
    </w:p>
    <w:p w14:paraId="49CC0103">
      <w:pPr>
        <w:spacing w:line="360" w:lineRule="auto"/>
        <w:ind w:firstLine="240" w:firstLineChars="100"/>
        <w:rPr>
          <w:rFonts w:hint="eastAsia" w:ascii="宋体" w:cs="宋体"/>
          <w:sz w:val="24"/>
          <w:lang w:val="en-US" w:eastAsia="zh-CN"/>
        </w:rPr>
      </w:pPr>
      <w:r>
        <w:rPr>
          <w:rFonts w:hint="eastAsia" w:ascii="宋体" w:cs="宋体"/>
          <w:sz w:val="24"/>
          <w:lang w:val="zh-CN"/>
        </w:rPr>
        <w:t>（2）</w:t>
      </w:r>
      <w:r>
        <w:rPr>
          <w:rFonts w:hint="eastAsia" w:ascii="宋体" w:cs="宋体"/>
          <w:sz w:val="24"/>
          <w:lang w:val="en-US" w:eastAsia="zh-CN"/>
        </w:rPr>
        <w:t>开标一览表</w:t>
      </w:r>
    </w:p>
    <w:p w14:paraId="36985EF0">
      <w:pPr>
        <w:spacing w:line="360" w:lineRule="auto"/>
        <w:ind w:firstLine="240" w:firstLineChars="100"/>
        <w:rPr>
          <w:rFonts w:ascii="宋体" w:cs="宋体"/>
          <w:b/>
          <w:bCs/>
          <w:color w:val="000000"/>
          <w:kern w:val="0"/>
          <w:sz w:val="24"/>
        </w:rPr>
      </w:pPr>
      <w:r>
        <w:rPr>
          <w:rFonts w:hint="eastAsia" w:ascii="宋体" w:cs="宋体"/>
          <w:sz w:val="24"/>
          <w:lang w:val="zh-CN"/>
        </w:rPr>
        <w:t>（</w:t>
      </w:r>
      <w:r>
        <w:rPr>
          <w:rFonts w:hint="eastAsia" w:ascii="宋体" w:cs="宋体"/>
          <w:sz w:val="24"/>
        </w:rPr>
        <w:t>3</w:t>
      </w:r>
      <w:r>
        <w:rPr>
          <w:rFonts w:hint="eastAsia" w:ascii="宋体" w:cs="宋体"/>
          <w:sz w:val="24"/>
          <w:lang w:val="zh-CN"/>
        </w:rPr>
        <w:t>）</w:t>
      </w:r>
      <w:r>
        <w:rPr>
          <w:rFonts w:hint="eastAsia" w:ascii="宋体" w:cs="宋体"/>
          <w:sz w:val="24"/>
        </w:rPr>
        <w:t>投标人认为需要提供的其他文件和资料。</w:t>
      </w:r>
    </w:p>
    <w:p w14:paraId="586D6169">
      <w:pPr>
        <w:spacing w:line="440" w:lineRule="exact"/>
        <w:ind w:firstLine="480" w:firstLineChars="200"/>
        <w:contextualSpacing/>
        <w:jc w:val="left"/>
        <w:rPr>
          <w:rFonts w:hint="eastAsia" w:ascii="宋体" w:eastAsia="宋体" w:cs="宋体"/>
          <w:highlight w:val="none"/>
          <w:lang w:val="zh-CN"/>
        </w:rPr>
      </w:pPr>
      <w:r>
        <w:rPr>
          <w:rFonts w:hint="eastAsia" w:ascii="宋体" w:eastAsia="宋体" w:cs="宋体"/>
          <w:color w:val="000000"/>
          <w:kern w:val="0"/>
          <w:sz w:val="24"/>
          <w:highlight w:val="none"/>
        </w:rPr>
        <w:t>以上所需的各种证书、证明、执照若系复印件，须在复印件上加盖公章。若投标人提供虚假的证明材料，一旦发现将拒绝投标人的投标，即使评标中未发现成交后也将取消成交资格，并没收投标保证金和履约保证金。</w:t>
      </w:r>
    </w:p>
    <w:p w14:paraId="68D6E048">
      <w:pPr>
        <w:snapToGrid w:val="0"/>
        <w:spacing w:line="400" w:lineRule="exact"/>
        <w:ind w:firstLine="240" w:firstLineChars="100"/>
        <w:jc w:val="left"/>
        <w:rPr>
          <w:rFonts w:hint="eastAsia" w:ascii="宋体" w:eastAsia="宋体" w:cs="宋体"/>
          <w:b/>
          <w:sz w:val="24"/>
        </w:rPr>
      </w:pPr>
      <w:r>
        <w:rPr>
          <w:rFonts w:hint="eastAsia" w:ascii="宋体" w:eastAsia="宋体" w:cs="宋体"/>
          <w:color w:val="000000"/>
          <w:kern w:val="0"/>
          <w:sz w:val="24"/>
          <w:highlight w:val="none"/>
        </w:rPr>
        <w:t>*2.2 本次招标为</w:t>
      </w:r>
      <w:r>
        <w:rPr>
          <w:rFonts w:hint="eastAsia" w:ascii="宋体" w:cs="宋体"/>
          <w:color w:val="000000"/>
          <w:kern w:val="0"/>
          <w:sz w:val="24"/>
          <w:highlight w:val="none"/>
          <w:lang w:eastAsia="zh-CN"/>
        </w:rPr>
        <w:t>巨化集团有限公司</w:t>
      </w:r>
      <w:r>
        <w:rPr>
          <w:rFonts w:hint="eastAsia" w:ascii="宋体" w:cs="宋体"/>
          <w:color w:val="000000"/>
          <w:kern w:val="0"/>
          <w:sz w:val="24"/>
          <w:highlight w:val="none"/>
          <w:lang w:val="en-US" w:eastAsia="zh-CN"/>
        </w:rPr>
        <w:t>2025</w:t>
      </w:r>
      <w:r>
        <w:rPr>
          <w:rFonts w:hint="eastAsia" w:ascii="宋体" w:cs="宋体"/>
          <w:color w:val="000000"/>
          <w:kern w:val="0"/>
          <w:sz w:val="24"/>
          <w:highlight w:val="none"/>
          <w:lang w:eastAsia="zh-CN"/>
        </w:rPr>
        <w:t>年度危险废物处置利用入围服务商</w:t>
      </w:r>
      <w:r>
        <w:rPr>
          <w:rFonts w:hint="eastAsia" w:ascii="宋体" w:eastAsia="宋体" w:cs="宋体"/>
          <w:color w:val="000000"/>
          <w:kern w:val="0"/>
          <w:sz w:val="24"/>
          <w:highlight w:val="none"/>
        </w:rPr>
        <w:t>招标，</w:t>
      </w:r>
      <w:r>
        <w:rPr>
          <w:rFonts w:hint="eastAsia" w:ascii="宋体" w:eastAsia="宋体" w:cs="宋体"/>
          <w:b/>
          <w:sz w:val="24"/>
        </w:rPr>
        <w:t>①符合资格条件的投标单位20家（含）及以上时，按综合评分排名高低依次入围15家（选取公司营业执照注册地在浙江省范围内的13家单位作为省内入围单位，公司营业执照注册地在浙江省范围外的2家单位作为省外入围单位，若在注册地在浙江省外的企业家数不足2家的，空余名额调剂给注册地在浙江省内企业入围名额）；</w:t>
      </w:r>
    </w:p>
    <w:p w14:paraId="185ABD99">
      <w:pPr>
        <w:snapToGrid w:val="0"/>
        <w:spacing w:line="400" w:lineRule="exact"/>
        <w:ind w:firstLine="241" w:firstLineChars="100"/>
        <w:jc w:val="left"/>
        <w:rPr>
          <w:rFonts w:hint="eastAsia" w:ascii="宋体" w:eastAsia="宋体" w:cs="宋体"/>
          <w:b/>
          <w:sz w:val="24"/>
        </w:rPr>
      </w:pPr>
      <w:r>
        <w:rPr>
          <w:rFonts w:hint="eastAsia" w:ascii="宋体" w:eastAsia="宋体" w:cs="宋体"/>
          <w:b/>
          <w:sz w:val="24"/>
        </w:rPr>
        <w:t>②符合资格条件的投标单位15（含）-19家时，按综合评分排名高低依次入围12家（选取公司营业执照注册地在浙江省范围内的10家单位作为省内入围单位，公司营业执照注册地在浙江省范围外的2家单位作为省外入围单位，若在注册地在浙江省外的企业家数不足2家的，空余名额调剂给注册地在浙江省内企业入围名额）；</w:t>
      </w:r>
    </w:p>
    <w:p w14:paraId="0522F3C2">
      <w:pPr>
        <w:snapToGrid w:val="0"/>
        <w:spacing w:line="400" w:lineRule="exact"/>
        <w:ind w:firstLine="241" w:firstLineChars="100"/>
        <w:jc w:val="left"/>
        <w:rPr>
          <w:rFonts w:hint="eastAsia" w:ascii="宋体" w:eastAsia="宋体" w:cs="宋体"/>
          <w:color w:val="000000"/>
          <w:kern w:val="0"/>
          <w:sz w:val="24"/>
          <w:highlight w:val="none"/>
        </w:rPr>
      </w:pPr>
      <w:r>
        <w:rPr>
          <w:rFonts w:hint="eastAsia" w:ascii="宋体" w:eastAsia="宋体" w:cs="宋体"/>
          <w:b/>
          <w:sz w:val="24"/>
        </w:rPr>
        <w:t>③符合资格条件的投标单位15家以下时，按综合评分排名高低依次入围10家（选取公司营业执照注册地在浙江省范围内的</w:t>
      </w:r>
      <w:r>
        <w:rPr>
          <w:rFonts w:ascii="宋体" w:eastAsia="宋体" w:cs="宋体"/>
          <w:b/>
          <w:sz w:val="24"/>
        </w:rPr>
        <w:t>8</w:t>
      </w:r>
      <w:r>
        <w:rPr>
          <w:rFonts w:hint="eastAsia" w:ascii="宋体" w:eastAsia="宋体" w:cs="宋体"/>
          <w:b/>
          <w:sz w:val="24"/>
        </w:rPr>
        <w:t>家单位作为省内入围单位，公司营业执照注册地在浙江省范围外的2家单位</w:t>
      </w:r>
      <w:r>
        <w:rPr>
          <w:rFonts w:hint="eastAsia" w:ascii="宋体" w:eastAsia="宋体" w:cs="宋体"/>
          <w:b/>
          <w:sz w:val="24"/>
          <w:highlight w:val="none"/>
        </w:rPr>
        <w:t>作为省外入围单位，若在注册地在浙江省外的企业家数不足2家的，空余名额调剂给注册地在浙江省内企业入围名额）。除了贵金属等特殊危废或采用综合利用方式处置的可委托</w:t>
      </w:r>
      <w:r>
        <w:rPr>
          <w:rFonts w:hint="eastAsia" w:ascii="宋体" w:cs="宋体"/>
          <w:b/>
          <w:sz w:val="24"/>
          <w:highlight w:val="none"/>
          <w:lang w:val="en-US" w:eastAsia="zh-CN"/>
        </w:rPr>
        <w:t>浙江</w:t>
      </w:r>
      <w:r>
        <w:rPr>
          <w:rFonts w:hint="eastAsia" w:ascii="宋体" w:eastAsia="宋体" w:cs="宋体"/>
          <w:b/>
          <w:sz w:val="24"/>
          <w:highlight w:val="none"/>
        </w:rPr>
        <w:t>省外</w:t>
      </w:r>
      <w:r>
        <w:rPr>
          <w:rFonts w:hint="eastAsia" w:ascii="宋体" w:cs="宋体"/>
          <w:b/>
          <w:sz w:val="24"/>
          <w:highlight w:val="none"/>
          <w:lang w:val="en-US" w:eastAsia="zh-CN"/>
        </w:rPr>
        <w:t>单位</w:t>
      </w:r>
      <w:r>
        <w:rPr>
          <w:rFonts w:hint="eastAsia" w:ascii="宋体" w:eastAsia="宋体" w:cs="宋体"/>
          <w:b/>
          <w:sz w:val="24"/>
          <w:highlight w:val="none"/>
        </w:rPr>
        <w:t>处置，其余原则是</w:t>
      </w:r>
      <w:r>
        <w:rPr>
          <w:rFonts w:hint="eastAsia" w:ascii="宋体" w:cs="宋体"/>
          <w:b/>
          <w:sz w:val="24"/>
          <w:highlight w:val="none"/>
          <w:lang w:val="en-US" w:eastAsia="zh-CN"/>
        </w:rPr>
        <w:t>浙江</w:t>
      </w:r>
      <w:r>
        <w:rPr>
          <w:rFonts w:hint="eastAsia" w:ascii="宋体" w:eastAsia="宋体" w:cs="宋体"/>
          <w:b/>
          <w:sz w:val="24"/>
          <w:highlight w:val="none"/>
        </w:rPr>
        <w:t>省内处置</w:t>
      </w:r>
      <w:r>
        <w:rPr>
          <w:rFonts w:hint="eastAsia" w:ascii="宋体" w:cs="宋体"/>
          <w:b/>
          <w:sz w:val="24"/>
          <w:highlight w:val="none"/>
          <w:lang w:eastAsia="zh-CN"/>
        </w:rPr>
        <w:t>。</w:t>
      </w:r>
      <w:r>
        <w:rPr>
          <w:rFonts w:hint="eastAsia" w:ascii="宋体" w:eastAsia="宋体" w:cs="宋体"/>
          <w:b/>
          <w:bCs/>
          <w:color w:val="000000"/>
          <w:kern w:val="0"/>
          <w:sz w:val="24"/>
          <w:highlight w:val="none"/>
        </w:rPr>
        <w:t>对于入围单位，招标人将针对入围单位的能力及提交投标资料进行现场核验，对于不满足招标需求的单位，有权取消其入围资格。</w:t>
      </w:r>
    </w:p>
    <w:p w14:paraId="69AD3249">
      <w:pPr>
        <w:snapToGrid w:val="0"/>
        <w:spacing w:line="440" w:lineRule="exact"/>
        <w:ind w:firstLine="360" w:firstLineChars="150"/>
        <w:rPr>
          <w:rFonts w:hint="eastAsia" w:ascii="宋体" w:eastAsia="宋体" w:cs="宋体"/>
          <w:color w:val="000000"/>
          <w:sz w:val="24"/>
          <w:highlight w:val="none"/>
        </w:rPr>
      </w:pPr>
      <w:r>
        <w:rPr>
          <w:rFonts w:hint="eastAsia" w:ascii="宋体" w:eastAsia="宋体" w:cs="宋体"/>
          <w:color w:val="000000"/>
          <w:sz w:val="24"/>
          <w:highlight w:val="none"/>
        </w:rPr>
        <w:t>巨化集团有限公司各下属单位根据其生产需求分别与入围单位进行业务对接。包括，入围单位向所在地环保局完成报备手续、采样分析、技术交流（处置能力、应急能力）等。</w:t>
      </w:r>
    </w:p>
    <w:p w14:paraId="17BDBF5D">
      <w:pPr>
        <w:snapToGrid w:val="0"/>
        <w:spacing w:line="440" w:lineRule="exact"/>
        <w:ind w:firstLine="360" w:firstLineChars="150"/>
        <w:rPr>
          <w:rFonts w:hint="eastAsia" w:ascii="宋体" w:eastAsia="宋体" w:cs="宋体"/>
          <w:color w:val="000000"/>
          <w:sz w:val="24"/>
          <w:highlight w:val="none"/>
        </w:rPr>
      </w:pPr>
      <w:r>
        <w:rPr>
          <w:rFonts w:hint="eastAsia" w:ascii="宋体" w:eastAsia="宋体" w:cs="宋体"/>
          <w:color w:val="000000"/>
          <w:sz w:val="24"/>
          <w:highlight w:val="none"/>
        </w:rPr>
        <w:t>对于通过采样分析的单位，进行云商网上商务报价。</w:t>
      </w:r>
    </w:p>
    <w:p w14:paraId="1F2F3C15">
      <w:pPr>
        <w:snapToGrid w:val="0"/>
        <w:spacing w:line="440" w:lineRule="exact"/>
        <w:ind w:firstLine="360" w:firstLineChars="150"/>
        <w:rPr>
          <w:rFonts w:hint="eastAsia" w:ascii="宋体" w:eastAsia="宋体" w:cs="宋体"/>
          <w:color w:val="000000"/>
          <w:sz w:val="24"/>
          <w:highlight w:val="none"/>
        </w:rPr>
      </w:pPr>
      <w:r>
        <w:rPr>
          <w:rFonts w:hint="eastAsia" w:ascii="宋体" w:eastAsia="宋体" w:cs="宋体"/>
          <w:color w:val="000000"/>
          <w:sz w:val="24"/>
          <w:highlight w:val="none"/>
        </w:rPr>
        <w:t>价低者与需求单位签订合同。</w:t>
      </w:r>
    </w:p>
    <w:p w14:paraId="077E6264">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根据危险废物类别报价由单价×预估年处置量+运输费用+含税，得出服务总价。</w:t>
      </w:r>
    </w:p>
    <w:p w14:paraId="34CE8F54">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结算标准：</w:t>
      </w:r>
    </w:p>
    <w:p w14:paraId="33AA8B6F">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1）每次付款前投标人需提前按招标人要求，向招标人提交带有招标人签字的修理确认表和正式发票（6%增值税专用发票）。如果投标人未按规定提交相关资料导致招标人付款逾期的，招标人不承担逾期付款的责任。</w:t>
      </w:r>
    </w:p>
    <w:p w14:paraId="1BEE8115">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（2）税率为6%，有变动按国家最新标准。</w:t>
      </w:r>
    </w:p>
    <w:p w14:paraId="6B103895">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结算方式：每个月（或按每批次服务）对帐一次，货款采用承兑+余款现金结算。</w:t>
      </w:r>
    </w:p>
    <w:p w14:paraId="4C9D5E37">
      <w:pPr>
        <w:snapToGrid w:val="0"/>
        <w:spacing w:line="440" w:lineRule="exact"/>
        <w:ind w:firstLine="361" w:firstLineChars="150"/>
        <w:rPr>
          <w:rFonts w:hint="eastAsia" w:ascii="宋体" w:eastAsia="宋体" w:cs="宋体"/>
          <w:b/>
          <w:bCs/>
          <w:sz w:val="24"/>
          <w:highlight w:val="none"/>
        </w:rPr>
      </w:pPr>
      <w:r>
        <w:rPr>
          <w:rFonts w:hint="eastAsia" w:ascii="宋体" w:eastAsia="宋体" w:cs="宋体"/>
          <w:b/>
          <w:bCs/>
          <w:sz w:val="24"/>
          <w:highlight w:val="none"/>
        </w:rPr>
        <w:t>2.3 投标有效期</w:t>
      </w:r>
    </w:p>
    <w:p w14:paraId="2930EC83">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2.3.1投标有效期见本须知前附表所规定的期限，在此期限内，凡符合本招标文件要求的投标文件均保持有效。</w:t>
      </w:r>
    </w:p>
    <w:p w14:paraId="115CDAE2">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2.3.2在特殊情况下，招标人在原定投标有效期内，可以根据需要以书面形式向投标人提出延长投标有效期的要求，对此要求投标人须以书面形式予以答复，投标人可以拒绝招标人这种要求。</w:t>
      </w:r>
    </w:p>
    <w:p w14:paraId="36711819">
      <w:pPr>
        <w:snapToGrid w:val="0"/>
        <w:spacing w:line="440" w:lineRule="exact"/>
        <w:ind w:firstLine="361" w:firstLineChars="150"/>
        <w:rPr>
          <w:rFonts w:hint="eastAsia" w:ascii="宋体" w:eastAsia="宋体" w:cs="宋体"/>
          <w:b/>
          <w:bCs/>
          <w:sz w:val="24"/>
          <w:highlight w:val="none"/>
        </w:rPr>
      </w:pPr>
      <w:r>
        <w:rPr>
          <w:rFonts w:hint="eastAsia" w:ascii="宋体" w:eastAsia="宋体" w:cs="宋体"/>
          <w:b/>
          <w:bCs/>
          <w:sz w:val="24"/>
          <w:highlight w:val="none"/>
        </w:rPr>
        <w:t>2.4 投标保证金</w:t>
      </w:r>
    </w:p>
    <w:p w14:paraId="5B1CE545">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2.4.1 投标人在递交投标文件的同时，应按招标公告规定的金额、担保形式递交投标保证金，并作为其投标文件的组成部分。</w:t>
      </w:r>
    </w:p>
    <w:p w14:paraId="41AE56FB">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2.4.2 投标人不按招标公告要求提交投标保证金的，其投标文件招标人不予受理。</w:t>
      </w:r>
    </w:p>
    <w:p w14:paraId="7D2BE44B">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2.4.3 招标人与中标人签订合同后5个工作日内，向未中标的投标人和中标人退还投标保证金。</w:t>
      </w:r>
    </w:p>
    <w:p w14:paraId="133C72C1">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 xml:space="preserve">2.4.4 有下列情形之一的，投标保证金将不予退还： </w:t>
      </w:r>
    </w:p>
    <w:p w14:paraId="22F44F75">
      <w:pPr>
        <w:snapToGrid w:val="0"/>
        <w:spacing w:line="440" w:lineRule="exact"/>
        <w:ind w:firstLine="360" w:firstLineChars="150"/>
        <w:rPr>
          <w:rFonts w:hint="eastAsia" w:ascii="宋体" w:eastAsia="宋体" w:cs="宋体"/>
          <w:sz w:val="24"/>
          <w:highlight w:val="none"/>
        </w:rPr>
      </w:pPr>
      <w:r>
        <w:rPr>
          <w:rFonts w:hint="eastAsia" w:ascii="宋体" w:eastAsia="宋体" w:cs="宋体"/>
          <w:sz w:val="24"/>
          <w:highlight w:val="none"/>
        </w:rPr>
        <w:t>（1）投标人在规定的投标有效期内撤销或修改其投标文件；</w:t>
      </w:r>
    </w:p>
    <w:p w14:paraId="4176B691">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（2）中标人在收到中标通知书后，无正当理由拒签合同协议书或未按招标文件规定提交履约担保。</w:t>
      </w:r>
    </w:p>
    <w:p w14:paraId="418E6E88">
      <w:pPr>
        <w:snapToGrid w:val="0"/>
        <w:spacing w:line="440" w:lineRule="exact"/>
        <w:ind w:firstLine="361" w:firstLineChars="150"/>
        <w:rPr>
          <w:rFonts w:hint="eastAsia" w:ascii="宋体" w:eastAsia="宋体" w:cs="宋体"/>
          <w:sz w:val="24"/>
          <w:highlight w:val="none"/>
        </w:rPr>
      </w:pPr>
      <w:r>
        <w:rPr>
          <w:rFonts w:hint="eastAsia" w:ascii="宋体" w:eastAsia="宋体" w:cs="宋体"/>
          <w:b/>
          <w:bCs/>
          <w:sz w:val="24"/>
          <w:highlight w:val="none"/>
        </w:rPr>
        <w:t>2.5 投标文件的编制</w:t>
      </w:r>
    </w:p>
    <w:p w14:paraId="1F177437">
      <w:pPr>
        <w:adjustRightInd w:val="0"/>
        <w:snapToGrid w:val="0"/>
        <w:spacing w:line="360" w:lineRule="auto"/>
        <w:ind w:firstLine="426"/>
        <w:rPr>
          <w:rFonts w:hint="eastAsia" w:ascii="宋体"/>
          <w:sz w:val="24"/>
          <w:highlight w:val="none"/>
        </w:rPr>
      </w:pPr>
      <w:r>
        <w:rPr>
          <w:rFonts w:hint="eastAsia" w:ascii="宋体"/>
          <w:sz w:val="24"/>
          <w:highlight w:val="none"/>
          <w:lang w:val="en-US" w:eastAsia="zh-CN"/>
        </w:rPr>
        <w:t>2</w:t>
      </w:r>
      <w:r>
        <w:rPr>
          <w:rFonts w:hint="eastAsia" w:ascii="宋体"/>
          <w:sz w:val="24"/>
          <w:highlight w:val="none"/>
        </w:rPr>
        <w:t>.5.1投标文件应按“投标文件格式”进行编写，如有必要，可以增加附页，作为投标文件的组成部分。</w:t>
      </w:r>
    </w:p>
    <w:p w14:paraId="7FB16D19">
      <w:pPr>
        <w:adjustRightInd w:val="0"/>
        <w:snapToGrid w:val="0"/>
        <w:spacing w:line="360" w:lineRule="auto"/>
        <w:ind w:firstLine="426"/>
        <w:rPr>
          <w:rFonts w:hint="eastAsia" w:ascii="宋体"/>
          <w:sz w:val="24"/>
          <w:highlight w:val="none"/>
        </w:rPr>
      </w:pPr>
      <w:r>
        <w:rPr>
          <w:rFonts w:hint="eastAsia" w:ascii="宋体"/>
          <w:sz w:val="24"/>
          <w:highlight w:val="none"/>
          <w:lang w:val="en-US" w:eastAsia="zh-CN"/>
        </w:rPr>
        <w:t>2</w:t>
      </w:r>
      <w:r>
        <w:rPr>
          <w:rFonts w:hint="eastAsia" w:ascii="宋体"/>
          <w:sz w:val="24"/>
          <w:highlight w:val="none"/>
        </w:rPr>
        <w:t>.5.2 投标文件应当对招标文件有关工期、投标有效期、质量要求、技术标准和要求、招标范围等实质性内容作出响应。</w:t>
      </w:r>
    </w:p>
    <w:p w14:paraId="7552A555">
      <w:pPr>
        <w:adjustRightInd w:val="0"/>
        <w:snapToGrid w:val="0"/>
        <w:spacing w:line="360" w:lineRule="auto"/>
        <w:ind w:firstLine="426"/>
        <w:rPr>
          <w:rFonts w:hint="eastAsia" w:ascii="宋体"/>
          <w:sz w:val="24"/>
          <w:highlight w:val="none"/>
        </w:rPr>
      </w:pPr>
      <w:r>
        <w:rPr>
          <w:rFonts w:hint="eastAsia" w:ascii="宋体"/>
          <w:sz w:val="24"/>
          <w:highlight w:val="none"/>
          <w:lang w:val="en-US" w:eastAsia="zh-CN"/>
        </w:rPr>
        <w:t>2</w:t>
      </w:r>
      <w:r>
        <w:rPr>
          <w:rFonts w:hint="eastAsia" w:ascii="宋体"/>
          <w:sz w:val="24"/>
          <w:highlight w:val="none"/>
        </w:rPr>
        <w:t>.5.3“电子加密投标文件”：</w:t>
      </w:r>
    </w:p>
    <w:p w14:paraId="04D6A97A">
      <w:pPr>
        <w:adjustRightInd w:val="0"/>
        <w:snapToGrid w:val="0"/>
        <w:spacing w:line="360" w:lineRule="auto"/>
        <w:ind w:firstLine="426"/>
        <w:rPr>
          <w:rFonts w:hint="eastAsia" w:ascii="宋体"/>
          <w:sz w:val="24"/>
          <w:highlight w:val="none"/>
        </w:rPr>
      </w:pPr>
      <w:r>
        <w:rPr>
          <w:rFonts w:hint="eastAsia" w:ascii="宋体"/>
          <w:sz w:val="24"/>
          <w:highlight w:val="none"/>
        </w:rPr>
        <w:t>（1）“电子加密投标文件”是指通过“化工云商网（巨化数字化招采平台）”完成投标文件编制后生成并加密的数据电文形式的投标文件。</w:t>
      </w:r>
    </w:p>
    <w:p w14:paraId="56FDC90D">
      <w:pPr>
        <w:snapToGrid w:val="0"/>
        <w:spacing w:line="440" w:lineRule="exact"/>
        <w:ind w:firstLine="241" w:firstLineChars="100"/>
        <w:rPr>
          <w:rFonts w:hint="eastAsia" w:ascii="宋体" w:eastAsia="宋体" w:cs="宋体"/>
          <w:b/>
          <w:bCs/>
          <w:sz w:val="24"/>
          <w:highlight w:val="none"/>
        </w:rPr>
      </w:pPr>
      <w:r>
        <w:rPr>
          <w:rFonts w:hint="eastAsia" w:ascii="宋体" w:eastAsia="宋体" w:cs="宋体"/>
          <w:b/>
          <w:bCs/>
          <w:sz w:val="24"/>
          <w:highlight w:val="none"/>
        </w:rPr>
        <w:t>3 投标</w:t>
      </w:r>
    </w:p>
    <w:p w14:paraId="6D910B30">
      <w:pPr>
        <w:snapToGrid w:val="0"/>
        <w:spacing w:before="120" w:line="440" w:lineRule="exact"/>
        <w:ind w:firstLine="352" w:firstLineChars="147"/>
        <w:jc w:val="left"/>
        <w:rPr>
          <w:rFonts w:hint="eastAsia" w:ascii="宋体" w:eastAsia="宋体" w:cs="宋体"/>
          <w:b/>
          <w:bCs/>
          <w:sz w:val="24"/>
          <w:highlight w:val="none"/>
        </w:rPr>
      </w:pPr>
      <w:r>
        <w:rPr>
          <w:rFonts w:hint="eastAsia" w:ascii="宋体" w:eastAsia="宋体" w:cs="宋体"/>
          <w:sz w:val="24"/>
          <w:highlight w:val="none"/>
        </w:rPr>
        <w:t>*3</w:t>
      </w:r>
      <w:r>
        <w:rPr>
          <w:rFonts w:hint="eastAsia" w:ascii="宋体" w:eastAsia="宋体" w:cs="宋体"/>
          <w:b/>
          <w:bCs/>
          <w:sz w:val="24"/>
          <w:highlight w:val="none"/>
        </w:rPr>
        <w:t>.1 投标文件的签章</w:t>
      </w:r>
    </w:p>
    <w:p w14:paraId="64B9D569">
      <w:pPr>
        <w:snapToGrid w:val="0"/>
        <w:spacing w:line="440" w:lineRule="exact"/>
        <w:ind w:firstLine="240" w:firstLineChars="100"/>
        <w:rPr>
          <w:rFonts w:hint="eastAsia" w:ascii="宋体" w:eastAsia="宋体"/>
          <w:sz w:val="24"/>
        </w:rPr>
      </w:pPr>
      <w:r>
        <w:rPr>
          <w:rFonts w:hint="eastAsia" w:ascii="宋体" w:eastAsia="宋体"/>
          <w:sz w:val="24"/>
        </w:rPr>
        <w:t>投标文件的签章采用经证实合法有效的投标单位的电子签章。</w:t>
      </w:r>
    </w:p>
    <w:p w14:paraId="157FBA77">
      <w:pPr>
        <w:snapToGrid w:val="0"/>
        <w:spacing w:line="440" w:lineRule="exact"/>
        <w:ind w:firstLine="241" w:firstLineChars="100"/>
        <w:rPr>
          <w:rFonts w:hint="eastAsia" w:ascii="宋体" w:eastAsia="宋体" w:cs="宋体"/>
          <w:b/>
          <w:sz w:val="24"/>
          <w:highlight w:val="none"/>
        </w:rPr>
      </w:pPr>
      <w:r>
        <w:rPr>
          <w:rFonts w:hint="eastAsia" w:ascii="宋体" w:eastAsia="宋体" w:cs="宋体"/>
          <w:b/>
          <w:bCs/>
          <w:sz w:val="24"/>
          <w:highlight w:val="none"/>
        </w:rPr>
        <w:t>3.2 投标</w:t>
      </w:r>
      <w:r>
        <w:rPr>
          <w:rFonts w:hint="eastAsia" w:ascii="宋体" w:eastAsia="宋体" w:cs="宋体"/>
          <w:b/>
          <w:sz w:val="24"/>
          <w:highlight w:val="none"/>
        </w:rPr>
        <w:t>文件的包装、密封和递交</w:t>
      </w:r>
    </w:p>
    <w:p w14:paraId="1F1F3585">
      <w:pPr>
        <w:adjustRightInd w:val="0"/>
        <w:snapToGrid w:val="0"/>
        <w:spacing w:line="360" w:lineRule="auto"/>
        <w:ind w:firstLine="426"/>
        <w:jc w:val="left"/>
        <w:rPr>
          <w:rFonts w:hint="eastAsia" w:ascii="宋体"/>
          <w:bCs/>
          <w:sz w:val="24"/>
          <w:highlight w:val="none"/>
        </w:rPr>
      </w:pPr>
      <w:r>
        <w:rPr>
          <w:rFonts w:hint="eastAsia" w:ascii="宋体"/>
          <w:bCs/>
          <w:sz w:val="24"/>
          <w:highlight w:val="none"/>
        </w:rPr>
        <w:t>1.“电子加密投标文件”的递交：投标人应在投标截止时间前将“电子加密投标文件”成功上传递交至“巨化数字化招采平台”，否则投标无效。</w:t>
      </w:r>
    </w:p>
    <w:p w14:paraId="0974C44F">
      <w:pPr>
        <w:adjustRightInd w:val="0"/>
        <w:snapToGrid w:val="0"/>
        <w:spacing w:line="360" w:lineRule="auto"/>
        <w:ind w:firstLine="426"/>
        <w:jc w:val="left"/>
        <w:rPr>
          <w:rFonts w:hint="eastAsia" w:ascii="宋体"/>
          <w:bCs/>
          <w:sz w:val="24"/>
          <w:highlight w:val="none"/>
        </w:rPr>
      </w:pPr>
      <w:r>
        <w:rPr>
          <w:rFonts w:hint="eastAsia" w:ascii="宋体"/>
          <w:bCs/>
          <w:sz w:val="24"/>
          <w:highlight w:val="none"/>
        </w:rPr>
        <w:t>2.“纸质投标文件”：</w:t>
      </w:r>
    </w:p>
    <w:p w14:paraId="6EAA97A5">
      <w:pPr>
        <w:adjustRightInd w:val="0"/>
        <w:snapToGrid w:val="0"/>
        <w:spacing w:line="360" w:lineRule="auto"/>
        <w:ind w:firstLine="426"/>
        <w:jc w:val="left"/>
        <w:rPr>
          <w:rFonts w:hint="eastAsia" w:ascii="宋体"/>
          <w:bCs/>
          <w:sz w:val="24"/>
          <w:highlight w:val="none"/>
        </w:rPr>
      </w:pPr>
      <w:r>
        <w:rPr>
          <w:rFonts w:hint="eastAsia" w:ascii="宋体"/>
          <w:bCs/>
          <w:sz w:val="24"/>
          <w:highlight w:val="none"/>
        </w:rPr>
        <w:t>技术资信标书正本1份、副本2份；</w:t>
      </w:r>
    </w:p>
    <w:p w14:paraId="7661406C">
      <w:pPr>
        <w:adjustRightInd w:val="0"/>
        <w:snapToGrid w:val="0"/>
        <w:spacing w:line="360" w:lineRule="auto"/>
        <w:ind w:firstLine="426"/>
        <w:jc w:val="left"/>
        <w:rPr>
          <w:rFonts w:hint="eastAsia" w:ascii="宋体"/>
          <w:bCs/>
          <w:sz w:val="24"/>
          <w:highlight w:val="none"/>
        </w:rPr>
      </w:pPr>
      <w:r>
        <w:rPr>
          <w:rFonts w:hint="eastAsia" w:ascii="宋体"/>
          <w:bCs/>
          <w:sz w:val="24"/>
          <w:highlight w:val="none"/>
        </w:rPr>
        <w:t>商务经济标书正本1份、副本2份。</w:t>
      </w:r>
    </w:p>
    <w:p w14:paraId="254F7462">
      <w:pPr>
        <w:adjustRightInd w:val="0"/>
        <w:snapToGrid w:val="0"/>
        <w:spacing w:line="360" w:lineRule="auto"/>
        <w:ind w:firstLine="426"/>
        <w:jc w:val="left"/>
        <w:rPr>
          <w:rFonts w:hint="eastAsia" w:ascii="宋体"/>
          <w:bCs/>
          <w:sz w:val="24"/>
          <w:highlight w:val="none"/>
        </w:rPr>
      </w:pPr>
      <w:r>
        <w:rPr>
          <w:rFonts w:hint="eastAsia" w:ascii="宋体"/>
          <w:sz w:val="24"/>
          <w:highlight w:val="none"/>
        </w:rPr>
        <w:t>纸质投标文件可以是加盖公章的投标文件或签电子章的投标文件，纸质投标文件和电子投标文件不一致的以电子投标文件为准，但投标人有义务保持一致，否则所导致的不利评审后果由投标人自行承担。</w:t>
      </w:r>
    </w:p>
    <w:p w14:paraId="6D230520">
      <w:pPr>
        <w:snapToGrid w:val="0"/>
        <w:spacing w:before="120" w:line="440" w:lineRule="exact"/>
        <w:ind w:firstLine="354" w:firstLineChars="147"/>
        <w:jc w:val="left"/>
        <w:rPr>
          <w:rFonts w:hint="eastAsia" w:ascii="宋体" w:eastAsia="宋体" w:cs="宋体"/>
          <w:b/>
          <w:sz w:val="24"/>
          <w:highlight w:val="none"/>
        </w:rPr>
      </w:pPr>
      <w:r>
        <w:rPr>
          <w:rFonts w:hint="eastAsia" w:ascii="宋体" w:eastAsia="宋体" w:cs="宋体"/>
          <w:b/>
          <w:sz w:val="24"/>
          <w:highlight w:val="none"/>
        </w:rPr>
        <w:t>3.3 投标文件的修改和撤回</w:t>
      </w:r>
    </w:p>
    <w:p w14:paraId="2187C59E">
      <w:pPr>
        <w:snapToGrid w:val="0"/>
        <w:spacing w:line="440" w:lineRule="exact"/>
        <w:ind w:left="479" w:leftChars="228"/>
        <w:textAlignment w:val="bottom"/>
        <w:rPr>
          <w:rFonts w:hint="eastAsia" w:ascii="宋体" w:eastAsia="宋体" w:cs="宋体"/>
          <w:sz w:val="24"/>
          <w:highlight w:val="none"/>
        </w:rPr>
      </w:pPr>
      <w:r>
        <w:rPr>
          <w:rFonts w:hint="eastAsia" w:ascii="宋体" w:eastAsia="宋体" w:cs="宋体"/>
          <w:sz w:val="24"/>
          <w:highlight w:val="none"/>
        </w:rPr>
        <w:t>1、投标人在投标截止时间前可以补充、修改或者撤回投标文件。</w:t>
      </w:r>
    </w:p>
    <w:p w14:paraId="60C7715B">
      <w:pPr>
        <w:snapToGrid w:val="0"/>
        <w:spacing w:line="440" w:lineRule="exact"/>
        <w:ind w:firstLine="480" w:firstLineChars="200"/>
        <w:textAlignment w:val="bottom"/>
        <w:rPr>
          <w:rFonts w:hint="eastAsia" w:ascii="宋体" w:eastAsia="宋体" w:cs="宋体"/>
          <w:sz w:val="24"/>
          <w:highlight w:val="none"/>
        </w:rPr>
      </w:pPr>
      <w:r>
        <w:rPr>
          <w:rFonts w:hint="eastAsia" w:ascii="宋体" w:eastAsia="宋体" w:cs="宋体"/>
          <w:sz w:val="24"/>
          <w:highlight w:val="none"/>
        </w:rPr>
        <w:t>2、补充或者修改投标文件的，应当先行撤回原投标文件，补充、修改后重新上传递交。</w:t>
      </w:r>
    </w:p>
    <w:p w14:paraId="18C800A9">
      <w:pPr>
        <w:snapToGrid w:val="0"/>
        <w:spacing w:line="440" w:lineRule="exact"/>
        <w:ind w:left="479" w:leftChars="228"/>
        <w:textAlignment w:val="bottom"/>
        <w:rPr>
          <w:rFonts w:hint="eastAsia" w:ascii="宋体" w:eastAsia="宋体" w:cs="宋体"/>
          <w:sz w:val="24"/>
          <w:highlight w:val="none"/>
        </w:rPr>
      </w:pPr>
      <w:r>
        <w:rPr>
          <w:rFonts w:hint="eastAsia" w:ascii="宋体" w:eastAsia="宋体" w:cs="宋体"/>
          <w:sz w:val="24"/>
          <w:highlight w:val="none"/>
        </w:rPr>
        <w:t>3、投标截止时间前未完成上传的，视为撤回投标文件。</w:t>
      </w:r>
    </w:p>
    <w:p w14:paraId="38000183">
      <w:pPr>
        <w:snapToGrid w:val="0"/>
        <w:spacing w:line="440" w:lineRule="exact"/>
        <w:ind w:firstLine="241" w:firstLineChars="100"/>
        <w:rPr>
          <w:rFonts w:hint="eastAsia" w:ascii="宋体" w:eastAsia="宋体" w:cs="宋体"/>
          <w:sz w:val="24"/>
          <w:highlight w:val="none"/>
        </w:rPr>
      </w:pPr>
      <w:r>
        <w:rPr>
          <w:rFonts w:hint="eastAsia" w:ascii="宋体" w:eastAsia="宋体" w:cs="宋体"/>
          <w:b/>
          <w:bCs/>
          <w:sz w:val="24"/>
          <w:highlight w:val="none"/>
        </w:rPr>
        <w:t>4 开标</w:t>
      </w:r>
    </w:p>
    <w:p w14:paraId="38C3A06C">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lang w:val="en-US" w:eastAsia="zh-CN"/>
        </w:rPr>
        <w:t>4</w:t>
      </w:r>
      <w:r>
        <w:rPr>
          <w:rFonts w:hint="eastAsia" w:ascii="宋体" w:cs="宋体"/>
          <w:b/>
          <w:sz w:val="24"/>
        </w:rPr>
        <w:t>.1开标形式</w:t>
      </w:r>
    </w:p>
    <w:p w14:paraId="59565365">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招标组织机构将按照招标文件规定的时间通过”巨化数字化招采平台”组织在线开标，所有投标人均应当准时在线参加。</w:t>
      </w:r>
    </w:p>
    <w:p w14:paraId="33EDD3F0">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lang w:val="en-US" w:eastAsia="zh-CN"/>
        </w:rPr>
        <w:t>4.</w:t>
      </w:r>
      <w:r>
        <w:rPr>
          <w:rFonts w:hint="eastAsia" w:ascii="宋体" w:cs="宋体"/>
          <w:b/>
          <w:sz w:val="24"/>
        </w:rPr>
        <w:t>2开标准备</w:t>
      </w:r>
    </w:p>
    <w:p w14:paraId="277C5976">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1.开标的准备工作由招标组织机构负责落实。</w:t>
      </w:r>
    </w:p>
    <w:p w14:paraId="67899891">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2.招标组织机构将按照招标文件规定的时间通过”巨化数字化招采平台”组织开标，所有投标人均应当准时在线参加。投标人自行承担因不参加在线开标而产生的不利后果。</w:t>
      </w:r>
    </w:p>
    <w:p w14:paraId="5ED5E741">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lang w:val="en-US" w:eastAsia="zh-CN"/>
        </w:rPr>
        <w:t>4</w:t>
      </w:r>
      <w:r>
        <w:rPr>
          <w:rFonts w:hint="eastAsia" w:ascii="宋体" w:cs="宋体"/>
          <w:b/>
          <w:sz w:val="24"/>
        </w:rPr>
        <w:t>.3开标流程</w:t>
      </w:r>
    </w:p>
    <w:p w14:paraId="121C80D9">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1.开标第一阶段</w:t>
      </w:r>
    </w:p>
    <w:p w14:paraId="4EA7B5F7">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（1）投标人在投标截止时间开始“电子加密投标文件”解密。</w:t>
      </w:r>
      <w:r>
        <w:rPr>
          <w:rFonts w:hint="eastAsia" w:ascii="宋体" w:cs="宋体"/>
          <w:sz w:val="24"/>
          <w:lang w:bidi="ar"/>
        </w:rPr>
        <w:t>各投标人代表应当在接到解密通知后30分钟内自行完成解密。 因投标人网络与电源不稳定、未按操作手册要求配置软硬件、解密锁发生故障或用错、故意不在要求时限内完成解密等自身原因，导致投标文件在规定时间内未能解密、解密失败或解密超时，视为投标人撤销其投标文件；因招标人原因或化工云商网（巨化数字化招采平台）系统发生故障，导致无法按时完成投标文件解密或开、评标工作无法进行的，经巨化招标办公室等相关部门同意，可根据实际情况相应延迟解密时间或调整开、评标时间。</w:t>
      </w:r>
    </w:p>
    <w:p w14:paraId="1365C107">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（2）对投标人的技术资信标书进行资格审查。</w:t>
      </w:r>
    </w:p>
    <w:p w14:paraId="09EF2B0A">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（3）对通过资格审查的投标文件进行符合性审查。</w:t>
      </w:r>
    </w:p>
    <w:p w14:paraId="28DD8A41">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（4）对通过符合性审查的投标文件进行技术资信评审评分。</w:t>
      </w:r>
    </w:p>
    <w:p w14:paraId="1816AEF1">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2.开标第二阶段</w:t>
      </w:r>
    </w:p>
    <w:p w14:paraId="06BA3C6B">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（1）技术资信评审评分结束后，进入开标第二阶段。</w:t>
      </w:r>
    </w:p>
    <w:p w14:paraId="1DF69E6A">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（2）开启有效投标人的商务经济标书。</w:t>
      </w:r>
    </w:p>
    <w:p w14:paraId="12D6951A">
      <w:pPr>
        <w:autoSpaceDE w:val="0"/>
        <w:autoSpaceDN w:val="0"/>
        <w:adjustRightInd w:val="0"/>
        <w:snapToGrid w:val="0"/>
        <w:spacing w:line="360" w:lineRule="auto"/>
        <w:ind w:firstLine="480" w:firstLineChars="200"/>
        <w:textAlignment w:val="bottom"/>
        <w:rPr>
          <w:rFonts w:hint="eastAsia" w:ascii="宋体" w:cs="宋体"/>
          <w:sz w:val="24"/>
        </w:rPr>
      </w:pPr>
      <w:r>
        <w:rPr>
          <w:rFonts w:hint="eastAsia" w:ascii="宋体" w:cs="宋体"/>
          <w:sz w:val="24"/>
        </w:rPr>
        <w:t>（3）对商务经济标书进行符合性审查。</w:t>
      </w:r>
    </w:p>
    <w:p w14:paraId="2F56420D">
      <w:pPr>
        <w:snapToGrid w:val="0"/>
        <w:spacing w:line="440" w:lineRule="exact"/>
        <w:ind w:firstLine="480" w:firstLineChars="200"/>
        <w:textAlignment w:val="bottom"/>
        <w:rPr>
          <w:rFonts w:hint="eastAsia" w:ascii="宋体" w:hAnsi="宋体" w:eastAsia="宋体" w:cs="宋体"/>
          <w:sz w:val="24"/>
          <w:highlight w:val="none"/>
        </w:rPr>
      </w:pPr>
      <w:r>
        <w:rPr>
          <w:rFonts w:hint="eastAsia" w:ascii="宋体" w:hAnsi="宋体" w:eastAsia="宋体" w:cs="宋体"/>
          <w:sz w:val="24"/>
          <w:highlight w:val="none"/>
        </w:rPr>
        <w:t>（4）全部投标文件评审结束后，通过电子交易平台公布入围候选人名单。</w:t>
      </w:r>
    </w:p>
    <w:p w14:paraId="66C9261D">
      <w:pPr>
        <w:snapToGrid w:val="0"/>
        <w:spacing w:line="440" w:lineRule="exact"/>
        <w:ind w:firstLine="480" w:firstLineChars="200"/>
        <w:textAlignment w:val="bottom"/>
        <w:rPr>
          <w:rFonts w:hint="eastAsia" w:ascii="宋体" w:hAnsi="宋体" w:eastAsia="宋体" w:cs="宋体"/>
          <w:color w:val="000000"/>
          <w:kern w:val="0"/>
          <w:sz w:val="24"/>
          <w:highlight w:val="none"/>
        </w:rPr>
      </w:pPr>
      <w:r>
        <w:rPr>
          <w:rFonts w:hint="eastAsia" w:ascii="宋体" w:hAnsi="宋体" w:eastAsia="宋体" w:cs="宋体"/>
          <w:sz w:val="24"/>
          <w:highlight w:val="none"/>
        </w:rPr>
        <w:t>（5）</w:t>
      </w:r>
      <w:r>
        <w:rPr>
          <w:rFonts w:hint="eastAsia" w:ascii="宋体" w:hAnsi="宋体" w:eastAsia="宋体" w:cs="宋体"/>
          <w:color w:val="000000"/>
          <w:kern w:val="0"/>
          <w:sz w:val="24"/>
          <w:highlight w:val="none"/>
        </w:rPr>
        <w:t>招标人将针对入围单位的能力及提交投标资料进行现场核验，对于不满足招标需求的单位，有权取消其入围资格。</w:t>
      </w:r>
    </w:p>
    <w:p w14:paraId="1215CBB9">
      <w:pPr>
        <w:autoSpaceDE w:val="0"/>
        <w:autoSpaceDN w:val="0"/>
        <w:adjustRightInd w:val="0"/>
        <w:snapToGrid w:val="0"/>
        <w:spacing w:line="360" w:lineRule="auto"/>
        <w:ind w:firstLine="480" w:firstLineChars="200"/>
        <w:textAlignment w:val="bottom"/>
        <w:rPr>
          <w:rFonts w:hint="eastAsia" w:ascii="宋体" w:cs="宋体"/>
          <w:sz w:val="24"/>
        </w:rPr>
      </w:pPr>
    </w:p>
    <w:p w14:paraId="2787C7F7">
      <w:pPr>
        <w:autoSpaceDE w:val="0"/>
        <w:autoSpaceDN w:val="0"/>
        <w:adjustRightInd w:val="0"/>
        <w:snapToGrid w:val="0"/>
        <w:spacing w:line="360" w:lineRule="auto"/>
        <w:ind w:firstLine="480" w:firstLineChars="200"/>
        <w:textAlignment w:val="bottom"/>
        <w:rPr>
          <w:rFonts w:hint="eastAsia" w:ascii="宋体" w:cs="宋体"/>
          <w:sz w:val="24"/>
        </w:rPr>
      </w:pPr>
    </w:p>
    <w:p w14:paraId="23B07864">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3.其他说明：</w:t>
      </w:r>
    </w:p>
    <w:p w14:paraId="05744967">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（1）如投标人未及时解密的，评标委员会将视情况发出通知，投标人应在评标委员会通知的时间内解密，否则不作为投标人。</w:t>
      </w:r>
    </w:p>
    <w:p w14:paraId="4D44CDAE">
      <w:pPr>
        <w:autoSpaceDE w:val="0"/>
        <w:autoSpaceDN w:val="0"/>
        <w:adjustRightInd w:val="0"/>
        <w:snapToGrid w:val="0"/>
        <w:spacing w:line="360" w:lineRule="auto"/>
        <w:ind w:firstLine="480" w:firstLineChars="200"/>
        <w:textAlignment w:val="bottom"/>
        <w:rPr>
          <w:sz w:val="24"/>
        </w:rPr>
      </w:pPr>
      <w:r>
        <w:rPr>
          <w:rFonts w:hint="eastAsia" w:ascii="宋体" w:cs="宋体"/>
          <w:sz w:val="24"/>
        </w:rPr>
        <w:t>（2）如因电子交易平台设置原因导致的程序或投标人界面显示与招标文件的规定不一致的，以电子交易平台的程序或投标人界面显示为准。</w:t>
      </w:r>
    </w:p>
    <w:p w14:paraId="3A63A621">
      <w:pPr>
        <w:snapToGrid w:val="0"/>
        <w:spacing w:line="440" w:lineRule="exact"/>
        <w:ind w:firstLine="241" w:firstLineChars="100"/>
        <w:rPr>
          <w:rFonts w:hint="eastAsia" w:ascii="宋体" w:eastAsia="宋体" w:cs="宋体"/>
          <w:b/>
          <w:bCs/>
          <w:sz w:val="24"/>
          <w:highlight w:val="none"/>
        </w:rPr>
      </w:pPr>
      <w:r>
        <w:rPr>
          <w:rFonts w:hint="eastAsia" w:ascii="宋体" w:eastAsia="宋体" w:cs="宋体"/>
          <w:b/>
          <w:bCs/>
          <w:sz w:val="24"/>
          <w:highlight w:val="none"/>
        </w:rPr>
        <w:t>5 评标</w:t>
      </w:r>
    </w:p>
    <w:p w14:paraId="2D026D3A">
      <w:pPr>
        <w:snapToGrid w:val="0"/>
        <w:spacing w:line="440" w:lineRule="exact"/>
        <w:ind w:firstLine="241" w:firstLineChars="100"/>
        <w:rPr>
          <w:rFonts w:hint="eastAsia" w:ascii="宋体" w:eastAsia="宋体" w:cs="宋体"/>
          <w:b/>
          <w:bCs/>
          <w:sz w:val="24"/>
          <w:highlight w:val="none"/>
        </w:rPr>
      </w:pPr>
      <w:r>
        <w:rPr>
          <w:rFonts w:hint="eastAsia" w:ascii="宋体" w:eastAsia="宋体" w:cs="宋体"/>
          <w:b/>
          <w:bCs/>
          <w:sz w:val="24"/>
          <w:highlight w:val="none"/>
        </w:rPr>
        <w:t>5.1 组建评标委员会</w:t>
      </w:r>
    </w:p>
    <w:p w14:paraId="25C25EEA">
      <w:pPr>
        <w:spacing w:line="360" w:lineRule="auto"/>
        <w:ind w:firstLine="240" w:firstLineChars="100"/>
        <w:rPr>
          <w:sz w:val="24"/>
        </w:rPr>
      </w:pPr>
      <w:r>
        <w:rPr>
          <w:rFonts w:hint="eastAsia" w:ascii="宋体" w:eastAsia="宋体" w:cs="宋体"/>
          <w:sz w:val="24"/>
          <w:highlight w:val="none"/>
        </w:rPr>
        <w:t>6.1.1</w:t>
      </w:r>
      <w:r>
        <w:rPr>
          <w:sz w:val="24"/>
        </w:rPr>
        <w:t>评标委员会</w:t>
      </w:r>
      <w:r>
        <w:rPr>
          <w:rFonts w:hint="eastAsia"/>
          <w:sz w:val="24"/>
        </w:rPr>
        <w:t>由招标人代表和有关技术、经济等方面的专家组成，成员人数应当为五人及以上单数。其中，技术、经济等方面的专家不得少于成员总数的三分之二。</w:t>
      </w:r>
    </w:p>
    <w:p w14:paraId="1A1B0B3F">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5.1.2 评标委员会成员有下列情形之一的，应当回避：</w:t>
      </w:r>
    </w:p>
    <w:p w14:paraId="73DAC3AB">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（1）招标人或投标人的主要负责人的近亲属；</w:t>
      </w:r>
    </w:p>
    <w:p w14:paraId="3A6455E0">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（2）项目主管部门或者行政监督部门的人员；</w:t>
      </w:r>
    </w:p>
    <w:p w14:paraId="7B5FA026">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（3）与投标人有经济利益关系，可能影响对投标公正评审的；</w:t>
      </w:r>
    </w:p>
    <w:p w14:paraId="31398037">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（4）曾因在招标、评标以及其他与招标投标有关活动中从事违法行为而受过行政处罚或刑事处罚的。</w:t>
      </w:r>
    </w:p>
    <w:p w14:paraId="4A8FA3E7">
      <w:pPr>
        <w:pStyle w:val="51"/>
        <w:snapToGrid w:val="0"/>
        <w:spacing w:line="440" w:lineRule="exact"/>
        <w:ind w:firstLine="426"/>
        <w:rPr>
          <w:rFonts w:hint="eastAsia" w:ascii="宋体" w:eastAsia="宋体" w:cs="宋体"/>
          <w:b/>
          <w:sz w:val="24"/>
          <w:highlight w:val="none"/>
        </w:rPr>
      </w:pPr>
      <w:r>
        <w:rPr>
          <w:rFonts w:hint="eastAsia" w:ascii="宋体" w:eastAsia="宋体" w:cs="宋体"/>
          <w:b/>
          <w:sz w:val="24"/>
          <w:highlight w:val="none"/>
        </w:rPr>
        <w:t>5.2评标程序</w:t>
      </w:r>
    </w:p>
    <w:p w14:paraId="27DD15F1">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1.在评标委员会中推选组长。</w:t>
      </w:r>
    </w:p>
    <w:p w14:paraId="7DE3BCB6">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2. 评标委员会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5E7B5B84">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3.评标委员会对各投标人的资格进行审查，投标人资格条件不符合招标文件要求的投标将被否决，</w:t>
      </w:r>
      <w:r>
        <w:rPr>
          <w:rFonts w:hint="eastAsia" w:ascii="宋体" w:eastAsia="宋体" w:cs="宋体"/>
          <w:bCs/>
          <w:sz w:val="24"/>
          <w:highlight w:val="none"/>
        </w:rPr>
        <w:t>不再进入符合性审查。</w:t>
      </w:r>
    </w:p>
    <w:p w14:paraId="595E5530">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4. 评标委员会对各投标文件的符合性进行审查，确定是否对招标文件作出了实质性响应。</w:t>
      </w:r>
      <w:r>
        <w:rPr>
          <w:rFonts w:hint="eastAsia" w:ascii="宋体" w:eastAsia="宋体" w:cs="宋体"/>
          <w:bCs/>
          <w:sz w:val="24"/>
          <w:highlight w:val="none"/>
        </w:rPr>
        <w:t>实质上没有响应招标文件要求的投标将被视为无效投标，不再进入下一阶段的评审。</w:t>
      </w:r>
    </w:p>
    <w:p w14:paraId="6AFF79DD">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5. 评标委员会按招标文件规定的评审方法和评审标准，依法独立对投标人投标文件进行评估、比较，并给予评价或打分，不受任何单位和个人的干预。</w:t>
      </w:r>
    </w:p>
    <w:p w14:paraId="4E9BFC1F">
      <w:pPr>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6.各投标人的得分为所有评标委员会的有效评分的算术平均数，由指定专人进行计算复核。</w:t>
      </w:r>
    </w:p>
    <w:p w14:paraId="7AD8A30E">
      <w:pPr>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7.评标委员会完成评标后，对各部分得分汇总，计算出本项目最终得分。评标委员会按评标原则推荐中标候选人，同时起草评标报告。</w:t>
      </w:r>
    </w:p>
    <w:p w14:paraId="5262F6E4">
      <w:pPr>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8. 当否决投标后，剩余投标人少于10个时，评标委员会应对投标是否具有竞争性进行认定。认为明显缺乏竞争的，可以否决全部投标，否则，应继续进行评审</w:t>
      </w:r>
      <w:r>
        <w:rPr>
          <w:rFonts w:hint="eastAsia" w:ascii="宋体" w:eastAsia="宋体" w:cs="宋体"/>
          <w:bCs/>
          <w:sz w:val="24"/>
          <w:highlight w:val="none"/>
        </w:rPr>
        <w:t>。</w:t>
      </w:r>
    </w:p>
    <w:p w14:paraId="27D2FE91">
      <w:pPr>
        <w:snapToGrid w:val="0"/>
        <w:spacing w:line="440" w:lineRule="exact"/>
        <w:ind w:firstLine="426"/>
        <w:rPr>
          <w:rFonts w:hint="eastAsia" w:ascii="宋体" w:eastAsia="宋体" w:cs="宋体"/>
          <w:b/>
          <w:sz w:val="24"/>
          <w:highlight w:val="none"/>
        </w:rPr>
      </w:pPr>
      <w:r>
        <w:rPr>
          <w:rFonts w:hint="eastAsia" w:ascii="宋体" w:eastAsia="宋体" w:cs="宋体"/>
          <w:b/>
          <w:sz w:val="24"/>
          <w:highlight w:val="none"/>
        </w:rPr>
        <w:t>5.3 澄清问题的形式</w:t>
      </w:r>
    </w:p>
    <w:p w14:paraId="3AD95887">
      <w:pPr>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57E0A859">
      <w:pPr>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评标委员会发出澄清内容后，投标人应当在</w:t>
      </w:r>
      <w:r>
        <w:rPr>
          <w:rFonts w:hint="eastAsia" w:ascii="宋体" w:eastAsia="宋体" w:cs="宋体"/>
          <w:sz w:val="24"/>
          <w:highlight w:val="none"/>
          <w:u w:val="single" w:color="000000"/>
        </w:rPr>
        <w:t>规定的时间内</w:t>
      </w:r>
      <w:r>
        <w:rPr>
          <w:rFonts w:hint="eastAsia" w:ascii="宋体" w:eastAsia="宋体" w:cs="宋体"/>
          <w:sz w:val="24"/>
          <w:highlight w:val="none"/>
        </w:rPr>
        <w:t>提交澄清说明或补正，否则视为投标人放弃答复，并自行承担因此而产生的不利后果。澄清、说明或者补正不得超出投标文件的范围或者改变投标文件的实质性内容。</w:t>
      </w:r>
    </w:p>
    <w:p w14:paraId="6FD89F61">
      <w:pPr>
        <w:pStyle w:val="51"/>
        <w:snapToGrid w:val="0"/>
        <w:spacing w:line="440" w:lineRule="exact"/>
        <w:ind w:firstLine="426"/>
        <w:rPr>
          <w:rFonts w:hint="eastAsia" w:ascii="宋体" w:eastAsia="宋体" w:cs="宋体"/>
          <w:b/>
          <w:sz w:val="24"/>
          <w:highlight w:val="none"/>
        </w:rPr>
      </w:pPr>
      <w:r>
        <w:rPr>
          <w:rFonts w:hint="eastAsia" w:ascii="宋体" w:eastAsia="宋体" w:cs="宋体"/>
          <w:b/>
          <w:sz w:val="24"/>
          <w:highlight w:val="none"/>
        </w:rPr>
        <w:t>5.4错误修正</w:t>
      </w:r>
    </w:p>
    <w:p w14:paraId="14247656">
      <w:pPr>
        <w:adjustRightInd w:val="0"/>
        <w:snapToGrid w:val="0"/>
        <w:spacing w:line="360" w:lineRule="auto"/>
        <w:ind w:firstLine="426"/>
        <w:rPr>
          <w:rFonts w:hint="eastAsia" w:ascii="宋体"/>
          <w:sz w:val="24"/>
          <w:highlight w:val="none"/>
        </w:rPr>
      </w:pPr>
      <w:r>
        <w:rPr>
          <w:rFonts w:hint="eastAsia" w:ascii="宋体"/>
          <w:sz w:val="24"/>
          <w:highlight w:val="none"/>
        </w:rPr>
        <w:t xml:space="preserve">投标文件报价出现前后不一致的，按照下列规定修正： </w:t>
      </w:r>
    </w:p>
    <w:p w14:paraId="0B97636E">
      <w:pPr>
        <w:adjustRightInd w:val="0"/>
        <w:snapToGrid w:val="0"/>
        <w:spacing w:line="360" w:lineRule="auto"/>
        <w:ind w:firstLine="426"/>
        <w:rPr>
          <w:rFonts w:hint="eastAsia" w:ascii="宋体"/>
          <w:sz w:val="24"/>
          <w:highlight w:val="none"/>
        </w:rPr>
      </w:pPr>
      <w:r>
        <w:rPr>
          <w:rFonts w:hint="eastAsia" w:ascii="宋体"/>
          <w:sz w:val="24"/>
          <w:highlight w:val="none"/>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按评委认为的合理价格修正总价。</w:t>
      </w:r>
    </w:p>
    <w:p w14:paraId="1156CB01">
      <w:pPr>
        <w:adjustRightInd w:val="0"/>
        <w:snapToGrid w:val="0"/>
        <w:spacing w:line="360" w:lineRule="auto"/>
        <w:ind w:firstLine="426"/>
        <w:rPr>
          <w:rFonts w:hint="eastAsia" w:ascii="宋体"/>
          <w:sz w:val="24"/>
          <w:highlight w:val="none"/>
        </w:rPr>
      </w:pPr>
      <w:r>
        <w:rPr>
          <w:rFonts w:hint="eastAsia" w:ascii="宋体"/>
          <w:sz w:val="24"/>
          <w:highlight w:val="none"/>
        </w:rPr>
        <w:t>2.大写金额和小写金额不一致的，以大写金额为准；</w:t>
      </w:r>
    </w:p>
    <w:p w14:paraId="5E32BF5E">
      <w:pPr>
        <w:adjustRightInd w:val="0"/>
        <w:snapToGrid w:val="0"/>
        <w:spacing w:line="360" w:lineRule="auto"/>
        <w:ind w:firstLine="426"/>
        <w:rPr>
          <w:rFonts w:hint="eastAsia" w:ascii="宋体"/>
          <w:sz w:val="24"/>
          <w:highlight w:val="none"/>
        </w:rPr>
      </w:pPr>
      <w:r>
        <w:rPr>
          <w:rFonts w:hint="eastAsia" w:ascii="宋体"/>
          <w:sz w:val="24"/>
          <w:highlight w:val="none"/>
        </w:rPr>
        <w:t>3.单价金额小数点或者百分比有明显错位的，以电子交易平台生成的开标记录表的总价为准，并修改单价；</w:t>
      </w:r>
    </w:p>
    <w:p w14:paraId="3001013F">
      <w:pPr>
        <w:adjustRightInd w:val="0"/>
        <w:snapToGrid w:val="0"/>
        <w:spacing w:line="360" w:lineRule="auto"/>
        <w:ind w:firstLine="426"/>
        <w:rPr>
          <w:rFonts w:hint="eastAsia" w:ascii="宋体"/>
          <w:sz w:val="24"/>
          <w:highlight w:val="none"/>
        </w:rPr>
      </w:pPr>
      <w:r>
        <w:rPr>
          <w:rFonts w:hint="eastAsia" w:ascii="宋体"/>
          <w:sz w:val="24"/>
          <w:highlight w:val="none"/>
        </w:rPr>
        <w:t>4.总价金额与按单价汇总金额不一致的，以单价金额计算结果为准。</w:t>
      </w:r>
    </w:p>
    <w:p w14:paraId="5BA7C3D6">
      <w:pPr>
        <w:adjustRightInd w:val="0"/>
        <w:snapToGrid w:val="0"/>
        <w:spacing w:line="360" w:lineRule="auto"/>
        <w:ind w:firstLine="426"/>
        <w:rPr>
          <w:rFonts w:hint="eastAsia" w:ascii="宋体"/>
          <w:sz w:val="24"/>
          <w:highlight w:val="none"/>
        </w:rPr>
      </w:pPr>
      <w:r>
        <w:rPr>
          <w:rFonts w:hint="eastAsia" w:ascii="宋体"/>
          <w:sz w:val="24"/>
          <w:highlight w:val="none"/>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282D11C4">
      <w:pPr>
        <w:pStyle w:val="51"/>
        <w:tabs>
          <w:tab w:val="left" w:pos="630"/>
        </w:tabs>
        <w:snapToGrid w:val="0"/>
        <w:spacing w:line="440" w:lineRule="exact"/>
        <w:ind w:firstLine="426"/>
        <w:rPr>
          <w:rFonts w:hint="eastAsia" w:ascii="宋体" w:eastAsia="宋体" w:cs="宋体"/>
          <w:b/>
          <w:sz w:val="24"/>
          <w:highlight w:val="none"/>
        </w:rPr>
      </w:pPr>
      <w:r>
        <w:rPr>
          <w:rFonts w:hint="eastAsia" w:ascii="宋体" w:eastAsia="宋体" w:cs="宋体"/>
          <w:b/>
          <w:sz w:val="24"/>
          <w:highlight w:val="none"/>
        </w:rPr>
        <w:t>5.5评标原则和评标办法</w:t>
      </w:r>
    </w:p>
    <w:p w14:paraId="12D2A7E2">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1.评标委员会必须公平、公正、客观，不带任何倾向性和启发性；不得向外界透露任何与评标有关的内容；任何单位和个人不得干扰、影响评标的正常进行。</w:t>
      </w:r>
    </w:p>
    <w:p w14:paraId="246F41A0">
      <w:pPr>
        <w:pStyle w:val="51"/>
        <w:snapToGrid w:val="0"/>
        <w:spacing w:line="440" w:lineRule="exact"/>
        <w:ind w:firstLine="426"/>
        <w:rPr>
          <w:rFonts w:hint="eastAsia" w:ascii="宋体" w:eastAsia="宋体" w:cs="宋体"/>
          <w:sz w:val="24"/>
          <w:highlight w:val="none"/>
        </w:rPr>
      </w:pPr>
      <w:r>
        <w:rPr>
          <w:rFonts w:hint="eastAsia" w:ascii="宋体" w:eastAsia="宋体" w:cs="宋体"/>
          <w:sz w:val="24"/>
          <w:highlight w:val="none"/>
        </w:rPr>
        <w:t>2.本项目具体评标内容及评分标准等详见《评标办法》。</w:t>
      </w:r>
    </w:p>
    <w:p w14:paraId="2072A317">
      <w:pPr>
        <w:snapToGrid w:val="0"/>
        <w:spacing w:line="440" w:lineRule="exact"/>
        <w:ind w:firstLine="241" w:firstLineChars="100"/>
        <w:rPr>
          <w:rFonts w:hint="eastAsia" w:ascii="宋体" w:eastAsia="宋体" w:cs="宋体"/>
          <w:b/>
          <w:bCs/>
          <w:sz w:val="24"/>
          <w:highlight w:val="none"/>
        </w:rPr>
      </w:pPr>
      <w:r>
        <w:rPr>
          <w:rFonts w:hint="eastAsia" w:ascii="宋体" w:eastAsia="宋体" w:cs="宋体"/>
          <w:b/>
          <w:bCs/>
          <w:sz w:val="24"/>
          <w:highlight w:val="none"/>
        </w:rPr>
        <w:t>6. 合同授予</w:t>
      </w:r>
    </w:p>
    <w:p w14:paraId="573C0E65">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6.1 定标方式</w:t>
      </w:r>
    </w:p>
    <w:p w14:paraId="343856F2">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除投标人须知前附表规定评标委员会直接确定中标人外，招标人依据评标委员会推荐的中标候选人确定中标人，评标委员会推荐中标候选人的人数见投标人须知前附表。</w:t>
      </w:r>
    </w:p>
    <w:p w14:paraId="792CFB6A">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6.2 中标通知</w:t>
      </w:r>
    </w:p>
    <w:p w14:paraId="16972424">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6.2.1 在本章第3.3款规定的投标有效期内，招标人以书面形式向中标人发出中标通知书，同时将中标结果通知未中标的投标人。</w:t>
      </w:r>
    </w:p>
    <w:p w14:paraId="634F0D9F">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*6.2.2  中标人在领取中标通知书时，向招标代理单位缴纳招标服务费各肆仟元。</w:t>
      </w:r>
    </w:p>
    <w:p w14:paraId="64D13DED">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6.3 履约担保</w:t>
      </w:r>
    </w:p>
    <w:p w14:paraId="5BBA427E">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6.3.1在签订合同前，中标人应按投标人须知前附表规定的金额、担保形式规定的履约担保格式向招标人提交履约担保，到招标人指定的帐户。</w:t>
      </w:r>
    </w:p>
    <w:p w14:paraId="202B4194">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6.4 签订合同</w:t>
      </w:r>
    </w:p>
    <w:p w14:paraId="5880B011">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 xml:space="preserve">6.4.1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14:paraId="129CCAA4">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6.4.2 发出中标通知书后，招标人无正当理由拒签合同的，招标人向中标人退还投标保证金；给中标人造成损失的，还应当赔偿损失。</w:t>
      </w:r>
    </w:p>
    <w:p w14:paraId="4CA1BFD3">
      <w:pPr>
        <w:snapToGrid w:val="0"/>
        <w:spacing w:line="440" w:lineRule="exact"/>
        <w:ind w:firstLine="241" w:firstLineChars="100"/>
        <w:rPr>
          <w:rFonts w:hint="eastAsia" w:ascii="宋体" w:eastAsia="宋体" w:cs="宋体"/>
          <w:b/>
          <w:bCs/>
          <w:color w:val="000000"/>
          <w:sz w:val="24"/>
          <w:highlight w:val="none"/>
        </w:rPr>
      </w:pPr>
      <w:r>
        <w:rPr>
          <w:rFonts w:hint="eastAsia" w:ascii="宋体" w:eastAsia="宋体" w:cs="宋体"/>
          <w:b/>
          <w:bCs/>
          <w:color w:val="000000"/>
          <w:sz w:val="24"/>
          <w:highlight w:val="none"/>
        </w:rPr>
        <w:t>7 重新招标和不再招标</w:t>
      </w:r>
    </w:p>
    <w:p w14:paraId="7DC16ADF">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7.1 重新招标</w:t>
      </w:r>
    </w:p>
    <w:p w14:paraId="7C686FCE">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有下列情形之一的，招标人将重新招标：</w:t>
      </w:r>
    </w:p>
    <w:p w14:paraId="1C9EC386">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（1）投标截止时间止，投标人少于10个的；</w:t>
      </w:r>
    </w:p>
    <w:p w14:paraId="62E3B6A8">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（2）经评标委员会评审后否决所有投标的。</w:t>
      </w:r>
    </w:p>
    <w:p w14:paraId="2F5F34EE">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7.2 不再招标</w:t>
      </w:r>
    </w:p>
    <w:p w14:paraId="2FA2519E">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重新招标后投标人仍少于10个或者所有投标被否决的，属于必须审批或核准的服务项目，经原审批或核准部门批准后不再进行招标。</w:t>
      </w:r>
    </w:p>
    <w:p w14:paraId="775F5AD2">
      <w:pPr>
        <w:snapToGrid w:val="0"/>
        <w:spacing w:line="440" w:lineRule="exact"/>
        <w:ind w:firstLine="240" w:firstLineChars="100"/>
        <w:rPr>
          <w:rFonts w:hint="eastAsia" w:ascii="宋体" w:eastAsia="宋体" w:cs="宋体"/>
          <w:sz w:val="24"/>
          <w:highlight w:val="none"/>
        </w:rPr>
      </w:pPr>
      <w:r>
        <w:rPr>
          <w:rFonts w:hint="eastAsia" w:ascii="宋体" w:eastAsia="宋体" w:cs="宋体"/>
          <w:sz w:val="24"/>
          <w:highlight w:val="none"/>
        </w:rPr>
        <w:t>8 招标结束</w:t>
      </w:r>
    </w:p>
    <w:p w14:paraId="5CAB47BB">
      <w:pPr>
        <w:snapToGrid w:val="0"/>
        <w:spacing w:line="440" w:lineRule="exact"/>
        <w:ind w:firstLine="352" w:firstLineChars="147"/>
        <w:rPr>
          <w:rFonts w:hint="eastAsia" w:ascii="宋体" w:eastAsia="宋体" w:cs="宋体"/>
          <w:b/>
          <w:sz w:val="24"/>
          <w:highlight w:val="none"/>
        </w:rPr>
      </w:pPr>
      <w:r>
        <w:rPr>
          <w:rFonts w:hint="eastAsia" w:ascii="宋体" w:eastAsia="宋体" w:cs="宋体"/>
          <w:sz w:val="24"/>
          <w:highlight w:val="none"/>
        </w:rPr>
        <w:t xml:space="preserve">中标人与招标人签订服务合同，并缴纳履约保证金后，即为招标结束，招标人对招标结果不负责解释。 </w:t>
      </w:r>
    </w:p>
    <w:p w14:paraId="1F011D72">
      <w:pPr>
        <w:snapToGrid w:val="0"/>
        <w:spacing w:line="440" w:lineRule="exact"/>
        <w:rPr>
          <w:rFonts w:hint="eastAsia" w:ascii="宋体" w:eastAsia="宋体" w:cs="宋体"/>
          <w:b/>
          <w:sz w:val="24"/>
          <w:highlight w:val="none"/>
        </w:rPr>
      </w:pPr>
    </w:p>
    <w:p w14:paraId="4BC144E8">
      <w:pPr>
        <w:pStyle w:val="6"/>
        <w:ind w:firstLine="240" w:firstLineChars="100"/>
        <w:rPr>
          <w:rFonts w:hint="eastAsia" w:ascii="宋体" w:eastAsia="宋体" w:cs="宋体"/>
          <w:b w:val="0"/>
          <w:bCs w:val="0"/>
          <w:kern w:val="2"/>
          <w:sz w:val="24"/>
          <w:szCs w:val="24"/>
          <w:highlight w:val="none"/>
        </w:rPr>
        <w:sectPr>
          <w:pgSz w:w="11907" w:h="16840"/>
          <w:pgMar w:top="1304" w:right="1247" w:bottom="1134" w:left="1304" w:header="680" w:footer="964" w:gutter="0"/>
          <w:cols w:space="720" w:num="1"/>
          <w:docGrid w:linePitch="285" w:charSpace="0"/>
        </w:sectPr>
      </w:pPr>
      <w:bookmarkStart w:id="6" w:name="_Toc8550"/>
      <w:r>
        <w:rPr>
          <w:rFonts w:hint="eastAsia" w:ascii="宋体" w:eastAsia="宋体" w:cs="宋体"/>
          <w:b w:val="0"/>
          <w:bCs w:val="0"/>
          <w:kern w:val="2"/>
          <w:sz w:val="24"/>
          <w:szCs w:val="24"/>
          <w:highlight w:val="none"/>
        </w:rPr>
        <w:t>9.若出现入围单位不能处置的危废，可单独申报对外招标。</w:t>
      </w:r>
      <w:bookmarkEnd w:id="6"/>
    </w:p>
    <w:p w14:paraId="7430E482">
      <w:pPr>
        <w:snapToGrid w:val="0"/>
        <w:spacing w:line="440" w:lineRule="exact"/>
        <w:ind w:firstLine="2570" w:firstLineChars="800"/>
        <w:jc w:val="left"/>
        <w:outlineLvl w:val="0"/>
        <w:rPr>
          <w:rFonts w:hint="eastAsia" w:ascii="宋体" w:eastAsia="宋体" w:cs="宋体"/>
          <w:b/>
          <w:bCs/>
          <w:szCs w:val="21"/>
          <w:highlight w:val="none"/>
        </w:rPr>
      </w:pPr>
      <w:bookmarkStart w:id="7" w:name="_Toc20030"/>
      <w:r>
        <w:rPr>
          <w:rFonts w:hint="eastAsia" w:ascii="宋体" w:eastAsia="宋体" w:cs="宋体"/>
          <w:b/>
          <w:bCs/>
          <w:sz w:val="32"/>
          <w:szCs w:val="32"/>
          <w:highlight w:val="none"/>
        </w:rPr>
        <w:t>第三章  评标办法（综合评分法）</w:t>
      </w:r>
      <w:bookmarkEnd w:id="7"/>
    </w:p>
    <w:p w14:paraId="00A1EB5B">
      <w:pPr>
        <w:adjustRightInd w:val="0"/>
        <w:snapToGrid w:val="0"/>
        <w:spacing w:line="360" w:lineRule="auto"/>
        <w:ind w:firstLine="420"/>
        <w:contextualSpacing/>
        <w:rPr>
          <w:rFonts w:ascii="宋体"/>
          <w:sz w:val="24"/>
          <w:szCs w:val="24"/>
        </w:rPr>
      </w:pPr>
      <w:r>
        <w:rPr>
          <w:rFonts w:hint="eastAsia" w:ascii="宋体"/>
          <w:sz w:val="24"/>
          <w:szCs w:val="24"/>
        </w:rPr>
        <w:t>为公正、公平、科学地选择中标人，根据有关法律法规的规定，并结合本项目的实际，制定本办法。</w:t>
      </w:r>
    </w:p>
    <w:p w14:paraId="6377BF2E">
      <w:pPr>
        <w:snapToGrid w:val="0"/>
        <w:spacing w:line="360" w:lineRule="auto"/>
        <w:ind w:left="426"/>
        <w:jc w:val="left"/>
        <w:outlineLvl w:val="1"/>
        <w:rPr>
          <w:rFonts w:hint="eastAsia" w:ascii="宋体"/>
          <w:b/>
          <w:sz w:val="24"/>
          <w:szCs w:val="24"/>
        </w:rPr>
      </w:pPr>
      <w:bookmarkStart w:id="8" w:name="_Toc151893110"/>
      <w:r>
        <w:rPr>
          <w:rFonts w:hint="eastAsia" w:ascii="宋体"/>
          <w:b/>
          <w:sz w:val="24"/>
          <w:szCs w:val="24"/>
        </w:rPr>
        <w:t>一、总则</w:t>
      </w:r>
      <w:bookmarkEnd w:id="8"/>
    </w:p>
    <w:p w14:paraId="3A1AC32E">
      <w:pPr>
        <w:snapToGrid w:val="0"/>
        <w:spacing w:line="400" w:lineRule="exact"/>
        <w:ind w:firstLine="120" w:firstLineChars="50"/>
        <w:jc w:val="left"/>
        <w:rPr>
          <w:rFonts w:hint="eastAsia" w:ascii="宋体" w:eastAsia="宋体" w:cs="宋体"/>
          <w:highlight w:val="none"/>
        </w:rPr>
      </w:pPr>
      <w:r>
        <w:rPr>
          <w:rStyle w:val="116"/>
          <w:rFonts w:hint="eastAsia" w:ascii="宋体" w:eastAsia="宋体" w:cs="宋体"/>
          <w:sz w:val="24"/>
          <w:highlight w:val="none"/>
        </w:rPr>
        <w:t>本次评标采用综合评分法。评标委员会对满足招标文件实质性要求的投标文件，按照本章规定的评分标准进行打分，</w:t>
      </w:r>
      <w:r>
        <w:rPr>
          <w:rFonts w:hint="eastAsia" w:ascii="宋体" w:eastAsia="宋体" w:cs="宋体"/>
          <w:b/>
          <w:sz w:val="24"/>
          <w:highlight w:val="none"/>
        </w:rPr>
        <w:t>①符合资格条件的投标单位20家（含）及以上时，按综合评分排名高低依次入围15家</w:t>
      </w:r>
      <w:r>
        <w:rPr>
          <w:rFonts w:hint="eastAsia" w:ascii="宋体" w:eastAsia="宋体" w:cs="宋体"/>
          <w:b/>
          <w:sz w:val="24"/>
          <w:highlight w:val="none"/>
          <w:lang w:eastAsia="zh-CN"/>
        </w:rPr>
        <w:t>（</w:t>
      </w:r>
      <w:r>
        <w:rPr>
          <w:rFonts w:hint="eastAsia" w:ascii="宋体" w:eastAsia="宋体" w:cs="宋体"/>
          <w:b/>
          <w:sz w:val="24"/>
          <w:highlight w:val="none"/>
        </w:rPr>
        <w:t>选取公司营业执照注册地在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范围内的</w:t>
      </w:r>
      <w:r>
        <w:rPr>
          <w:rFonts w:hint="eastAsia" w:ascii="宋体" w:eastAsia="宋体" w:cs="宋体"/>
          <w:b/>
          <w:sz w:val="24"/>
          <w:highlight w:val="none"/>
          <w:lang w:val="en-US" w:eastAsia="zh-CN"/>
        </w:rPr>
        <w:t>13</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内入围单位</w:t>
      </w:r>
      <w:r>
        <w:rPr>
          <w:rFonts w:hint="eastAsia" w:ascii="宋体" w:eastAsia="宋体" w:cs="宋体"/>
          <w:b/>
          <w:sz w:val="24"/>
          <w:highlight w:val="none"/>
          <w:lang w:eastAsia="zh-CN"/>
        </w:rPr>
        <w:t>，</w:t>
      </w:r>
      <w:r>
        <w:rPr>
          <w:rFonts w:hint="eastAsia" w:ascii="宋体" w:eastAsia="宋体" w:cs="宋体"/>
          <w:b/>
          <w:sz w:val="24"/>
          <w:highlight w:val="none"/>
        </w:rPr>
        <w:t>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范围外的</w:t>
      </w:r>
      <w:r>
        <w:rPr>
          <w:rFonts w:hint="eastAsia" w:ascii="宋体" w:eastAsia="宋体" w:cs="宋体"/>
          <w:b/>
          <w:sz w:val="24"/>
          <w:highlight w:val="none"/>
          <w:lang w:val="en-US" w:eastAsia="zh-CN"/>
        </w:rPr>
        <w:t>2</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外入围单位</w:t>
      </w:r>
      <w:r>
        <w:rPr>
          <w:rFonts w:hint="eastAsia" w:ascii="宋体" w:eastAsia="宋体" w:cs="宋体"/>
          <w:b/>
          <w:sz w:val="24"/>
          <w:highlight w:val="none"/>
          <w:lang w:eastAsia="zh-CN"/>
        </w:rPr>
        <w:t>，</w:t>
      </w:r>
      <w:r>
        <w:rPr>
          <w:rFonts w:hint="eastAsia" w:ascii="宋体" w:eastAsia="宋体" w:cs="宋体"/>
          <w:b/>
          <w:sz w:val="24"/>
          <w:highlight w:val="none"/>
        </w:rPr>
        <w:t>若在注册地在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外</w:t>
      </w:r>
      <w:r>
        <w:rPr>
          <w:rFonts w:hint="eastAsia" w:ascii="宋体" w:eastAsia="宋体" w:cs="宋体"/>
          <w:b/>
          <w:sz w:val="24"/>
          <w:highlight w:val="none"/>
          <w:lang w:val="en-US" w:eastAsia="zh-CN"/>
        </w:rPr>
        <w:t>的</w:t>
      </w:r>
      <w:r>
        <w:rPr>
          <w:rFonts w:hint="eastAsia" w:ascii="宋体" w:eastAsia="宋体" w:cs="宋体"/>
          <w:b/>
          <w:sz w:val="24"/>
          <w:highlight w:val="none"/>
        </w:rPr>
        <w:t>企业家数不足</w:t>
      </w:r>
      <w:r>
        <w:rPr>
          <w:rFonts w:hint="eastAsia" w:ascii="宋体" w:eastAsia="宋体" w:cs="宋体"/>
          <w:b/>
          <w:sz w:val="24"/>
          <w:highlight w:val="none"/>
          <w:lang w:val="en-US" w:eastAsia="zh-CN"/>
        </w:rPr>
        <w:t>2</w:t>
      </w:r>
      <w:r>
        <w:rPr>
          <w:rFonts w:hint="eastAsia" w:ascii="宋体" w:eastAsia="宋体" w:cs="宋体"/>
          <w:b/>
          <w:sz w:val="24"/>
          <w:highlight w:val="none"/>
        </w:rPr>
        <w:t>家的，空余名额调剂给注册地在</w:t>
      </w:r>
      <w:r>
        <w:rPr>
          <w:rFonts w:hint="eastAsia" w:ascii="宋体" w:eastAsia="宋体" w:cs="宋体"/>
          <w:b/>
          <w:sz w:val="24"/>
          <w:highlight w:val="none"/>
          <w:lang w:val="en-US" w:eastAsia="zh-CN"/>
        </w:rPr>
        <w:t>浙江省内</w:t>
      </w:r>
      <w:r>
        <w:rPr>
          <w:rFonts w:hint="eastAsia" w:ascii="宋体" w:eastAsia="宋体" w:cs="宋体"/>
          <w:b/>
          <w:sz w:val="24"/>
          <w:highlight w:val="none"/>
        </w:rPr>
        <w:t>企业入围名额</w:t>
      </w:r>
      <w:r>
        <w:rPr>
          <w:rFonts w:hint="eastAsia" w:ascii="宋体" w:eastAsia="宋体" w:cs="宋体"/>
          <w:b/>
          <w:sz w:val="24"/>
          <w:highlight w:val="none"/>
          <w:lang w:eastAsia="zh-CN"/>
        </w:rPr>
        <w:t>）</w:t>
      </w:r>
      <w:r>
        <w:rPr>
          <w:rFonts w:hint="eastAsia" w:ascii="宋体" w:eastAsia="宋体" w:cs="宋体"/>
          <w:b/>
          <w:sz w:val="24"/>
          <w:highlight w:val="none"/>
        </w:rPr>
        <w:t>；②符合资格条件的投标单位15（含）-20家及以上时，按综合评分排名高低依次入围12家</w:t>
      </w:r>
      <w:r>
        <w:rPr>
          <w:rFonts w:hint="eastAsia" w:ascii="宋体" w:eastAsia="宋体" w:cs="宋体"/>
          <w:b/>
          <w:sz w:val="24"/>
          <w:highlight w:val="none"/>
          <w:lang w:eastAsia="zh-CN"/>
        </w:rPr>
        <w:t>（</w:t>
      </w:r>
      <w:r>
        <w:rPr>
          <w:rFonts w:hint="eastAsia" w:ascii="宋体" w:eastAsia="宋体" w:cs="宋体"/>
          <w:b/>
          <w:sz w:val="24"/>
          <w:highlight w:val="none"/>
        </w:rPr>
        <w:t>选取公司营业执照注册地在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范围内的</w:t>
      </w:r>
      <w:r>
        <w:rPr>
          <w:rFonts w:hint="eastAsia" w:ascii="宋体" w:eastAsia="宋体" w:cs="宋体"/>
          <w:b/>
          <w:sz w:val="24"/>
          <w:highlight w:val="none"/>
          <w:lang w:val="en-US" w:eastAsia="zh-CN"/>
        </w:rPr>
        <w:t>10</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内入围单位</w:t>
      </w:r>
      <w:r>
        <w:rPr>
          <w:rFonts w:hint="eastAsia" w:ascii="宋体" w:eastAsia="宋体" w:cs="宋体"/>
          <w:b/>
          <w:sz w:val="24"/>
          <w:highlight w:val="none"/>
          <w:lang w:eastAsia="zh-CN"/>
        </w:rPr>
        <w:t>，</w:t>
      </w:r>
      <w:r>
        <w:rPr>
          <w:rFonts w:hint="eastAsia" w:ascii="宋体" w:eastAsia="宋体" w:cs="宋体"/>
          <w:b/>
          <w:sz w:val="24"/>
          <w:highlight w:val="none"/>
        </w:rPr>
        <w:t>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范围外的</w:t>
      </w:r>
      <w:r>
        <w:rPr>
          <w:rFonts w:hint="eastAsia" w:ascii="宋体" w:eastAsia="宋体" w:cs="宋体"/>
          <w:b/>
          <w:sz w:val="24"/>
          <w:highlight w:val="none"/>
          <w:lang w:val="en-US" w:eastAsia="zh-CN"/>
        </w:rPr>
        <w:t>2</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外入围单位</w:t>
      </w:r>
      <w:r>
        <w:rPr>
          <w:rFonts w:hint="eastAsia" w:ascii="宋体" w:eastAsia="宋体" w:cs="宋体"/>
          <w:b/>
          <w:sz w:val="24"/>
          <w:highlight w:val="none"/>
          <w:lang w:eastAsia="zh-CN"/>
        </w:rPr>
        <w:t>，</w:t>
      </w:r>
      <w:r>
        <w:rPr>
          <w:rFonts w:hint="eastAsia" w:ascii="宋体" w:eastAsia="宋体" w:cs="宋体"/>
          <w:b/>
          <w:sz w:val="24"/>
          <w:highlight w:val="none"/>
        </w:rPr>
        <w:t>若在注册地在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外</w:t>
      </w:r>
      <w:r>
        <w:rPr>
          <w:rFonts w:hint="eastAsia" w:ascii="宋体" w:eastAsia="宋体" w:cs="宋体"/>
          <w:b/>
          <w:sz w:val="24"/>
          <w:highlight w:val="none"/>
          <w:lang w:val="en-US" w:eastAsia="zh-CN"/>
        </w:rPr>
        <w:t>的</w:t>
      </w:r>
      <w:r>
        <w:rPr>
          <w:rFonts w:hint="eastAsia" w:ascii="宋体" w:eastAsia="宋体" w:cs="宋体"/>
          <w:b/>
          <w:sz w:val="24"/>
          <w:highlight w:val="none"/>
        </w:rPr>
        <w:t>企业家数不足</w:t>
      </w:r>
      <w:r>
        <w:rPr>
          <w:rFonts w:hint="eastAsia" w:ascii="宋体" w:eastAsia="宋体" w:cs="宋体"/>
          <w:b/>
          <w:sz w:val="24"/>
          <w:highlight w:val="none"/>
          <w:lang w:val="en-US" w:eastAsia="zh-CN"/>
        </w:rPr>
        <w:t>2</w:t>
      </w:r>
      <w:r>
        <w:rPr>
          <w:rFonts w:hint="eastAsia" w:ascii="宋体" w:eastAsia="宋体" w:cs="宋体"/>
          <w:b/>
          <w:sz w:val="24"/>
          <w:highlight w:val="none"/>
        </w:rPr>
        <w:t>家的，空余名额调剂给注册地在</w:t>
      </w:r>
      <w:r>
        <w:rPr>
          <w:rFonts w:hint="eastAsia" w:ascii="宋体" w:eastAsia="宋体" w:cs="宋体"/>
          <w:b/>
          <w:sz w:val="24"/>
          <w:highlight w:val="none"/>
          <w:lang w:val="en-US" w:eastAsia="zh-CN"/>
        </w:rPr>
        <w:t>浙江省内</w:t>
      </w:r>
      <w:r>
        <w:rPr>
          <w:rFonts w:hint="eastAsia" w:ascii="宋体" w:eastAsia="宋体" w:cs="宋体"/>
          <w:b/>
          <w:sz w:val="24"/>
          <w:highlight w:val="none"/>
        </w:rPr>
        <w:t>企业入围名额</w:t>
      </w:r>
      <w:r>
        <w:rPr>
          <w:rFonts w:hint="eastAsia" w:ascii="宋体" w:eastAsia="宋体" w:cs="宋体"/>
          <w:b/>
          <w:sz w:val="24"/>
          <w:highlight w:val="none"/>
          <w:lang w:eastAsia="zh-CN"/>
        </w:rPr>
        <w:t>）</w:t>
      </w:r>
      <w:r>
        <w:rPr>
          <w:rFonts w:hint="eastAsia" w:ascii="宋体" w:eastAsia="宋体" w:cs="宋体"/>
          <w:b/>
          <w:sz w:val="24"/>
          <w:highlight w:val="none"/>
        </w:rPr>
        <w:t>；③符合资格条件的投标单位10（含）-15家及以上时，按综合评分排名高低依次入围10家</w:t>
      </w:r>
      <w:r>
        <w:rPr>
          <w:rFonts w:hint="eastAsia" w:ascii="宋体" w:eastAsia="宋体" w:cs="宋体"/>
          <w:b/>
          <w:sz w:val="24"/>
          <w:highlight w:val="none"/>
          <w:lang w:eastAsia="zh-CN"/>
        </w:rPr>
        <w:t>（</w:t>
      </w:r>
      <w:r>
        <w:rPr>
          <w:rFonts w:hint="eastAsia" w:ascii="宋体" w:eastAsia="宋体" w:cs="宋体"/>
          <w:b/>
          <w:sz w:val="24"/>
          <w:highlight w:val="none"/>
        </w:rPr>
        <w:t>选取公司营业执照注册地在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范围内的</w:t>
      </w:r>
      <w:r>
        <w:rPr>
          <w:rFonts w:hint="eastAsia" w:ascii="宋体" w:eastAsia="宋体" w:cs="宋体"/>
          <w:b/>
          <w:sz w:val="24"/>
          <w:highlight w:val="none"/>
          <w:lang w:val="en-US" w:eastAsia="zh-CN"/>
        </w:rPr>
        <w:t>8</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内入围单位</w:t>
      </w:r>
      <w:r>
        <w:rPr>
          <w:rFonts w:hint="eastAsia" w:ascii="宋体" w:eastAsia="宋体" w:cs="宋体"/>
          <w:b/>
          <w:sz w:val="24"/>
          <w:highlight w:val="none"/>
          <w:lang w:eastAsia="zh-CN"/>
        </w:rPr>
        <w:t>，</w:t>
      </w:r>
      <w:r>
        <w:rPr>
          <w:rFonts w:hint="eastAsia" w:ascii="宋体" w:eastAsia="宋体" w:cs="宋体"/>
          <w:b/>
          <w:sz w:val="24"/>
          <w:highlight w:val="none"/>
        </w:rPr>
        <w:t>公司营业执照注册地在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范围外的</w:t>
      </w:r>
      <w:r>
        <w:rPr>
          <w:rFonts w:hint="eastAsia" w:ascii="宋体" w:eastAsia="宋体" w:cs="宋体"/>
          <w:b/>
          <w:sz w:val="24"/>
          <w:highlight w:val="none"/>
          <w:lang w:val="en-US" w:eastAsia="zh-CN"/>
        </w:rPr>
        <w:t>2</w:t>
      </w:r>
      <w:r>
        <w:rPr>
          <w:rFonts w:hint="eastAsia" w:ascii="宋体" w:eastAsia="宋体" w:cs="宋体"/>
          <w:b/>
          <w:sz w:val="24"/>
          <w:highlight w:val="none"/>
        </w:rPr>
        <w:t>家单位作为</w:t>
      </w:r>
      <w:r>
        <w:rPr>
          <w:rFonts w:hint="eastAsia" w:ascii="宋体" w:eastAsia="宋体" w:cs="宋体"/>
          <w:b/>
          <w:sz w:val="24"/>
          <w:highlight w:val="none"/>
          <w:lang w:val="en-US" w:eastAsia="zh-CN"/>
        </w:rPr>
        <w:t>省</w:t>
      </w:r>
      <w:r>
        <w:rPr>
          <w:rFonts w:hint="eastAsia" w:ascii="宋体" w:eastAsia="宋体" w:cs="宋体"/>
          <w:b/>
          <w:sz w:val="24"/>
          <w:highlight w:val="none"/>
        </w:rPr>
        <w:t>外入围单位</w:t>
      </w:r>
      <w:r>
        <w:rPr>
          <w:rFonts w:hint="eastAsia" w:ascii="宋体" w:eastAsia="宋体" w:cs="宋体"/>
          <w:b/>
          <w:sz w:val="24"/>
          <w:highlight w:val="none"/>
          <w:lang w:eastAsia="zh-CN"/>
        </w:rPr>
        <w:t>，</w:t>
      </w:r>
      <w:r>
        <w:rPr>
          <w:rFonts w:hint="eastAsia" w:ascii="宋体" w:eastAsia="宋体" w:cs="宋体"/>
          <w:b/>
          <w:sz w:val="24"/>
          <w:highlight w:val="none"/>
        </w:rPr>
        <w:t>若在注册地在</w:t>
      </w:r>
      <w:r>
        <w:rPr>
          <w:rFonts w:hint="eastAsia" w:ascii="宋体" w:eastAsia="宋体" w:cs="宋体"/>
          <w:b/>
          <w:sz w:val="24"/>
          <w:highlight w:val="none"/>
          <w:lang w:val="en-US" w:eastAsia="zh-CN"/>
        </w:rPr>
        <w:t>浙江省</w:t>
      </w:r>
      <w:r>
        <w:rPr>
          <w:rFonts w:hint="eastAsia" w:ascii="宋体" w:eastAsia="宋体" w:cs="宋体"/>
          <w:b/>
          <w:sz w:val="24"/>
          <w:highlight w:val="none"/>
        </w:rPr>
        <w:t>外</w:t>
      </w:r>
      <w:r>
        <w:rPr>
          <w:rFonts w:hint="eastAsia" w:ascii="宋体" w:eastAsia="宋体" w:cs="宋体"/>
          <w:b/>
          <w:sz w:val="24"/>
          <w:highlight w:val="none"/>
          <w:lang w:val="en-US" w:eastAsia="zh-CN"/>
        </w:rPr>
        <w:t>的</w:t>
      </w:r>
      <w:r>
        <w:rPr>
          <w:rFonts w:hint="eastAsia" w:ascii="宋体" w:eastAsia="宋体" w:cs="宋体"/>
          <w:b/>
          <w:sz w:val="24"/>
          <w:highlight w:val="none"/>
        </w:rPr>
        <w:t>企业家数不足</w:t>
      </w:r>
      <w:r>
        <w:rPr>
          <w:rFonts w:hint="eastAsia" w:ascii="宋体" w:eastAsia="宋体" w:cs="宋体"/>
          <w:b/>
          <w:sz w:val="24"/>
          <w:highlight w:val="none"/>
          <w:lang w:val="en-US" w:eastAsia="zh-CN"/>
        </w:rPr>
        <w:t>2</w:t>
      </w:r>
      <w:r>
        <w:rPr>
          <w:rFonts w:hint="eastAsia" w:ascii="宋体" w:eastAsia="宋体" w:cs="宋体"/>
          <w:b/>
          <w:sz w:val="24"/>
          <w:highlight w:val="none"/>
        </w:rPr>
        <w:t>家的，空余名额调剂给注册地在</w:t>
      </w:r>
      <w:r>
        <w:rPr>
          <w:rFonts w:hint="eastAsia" w:ascii="宋体" w:eastAsia="宋体" w:cs="宋体"/>
          <w:b/>
          <w:sz w:val="24"/>
          <w:highlight w:val="none"/>
          <w:lang w:val="en-US" w:eastAsia="zh-CN"/>
        </w:rPr>
        <w:t>浙江省内</w:t>
      </w:r>
      <w:r>
        <w:rPr>
          <w:rFonts w:hint="eastAsia" w:ascii="宋体" w:eastAsia="宋体" w:cs="宋体"/>
          <w:b/>
          <w:sz w:val="24"/>
          <w:highlight w:val="none"/>
        </w:rPr>
        <w:t>企业入围名额</w:t>
      </w:r>
      <w:r>
        <w:rPr>
          <w:rFonts w:hint="eastAsia" w:ascii="宋体" w:eastAsia="宋体" w:cs="宋体"/>
          <w:b/>
          <w:sz w:val="24"/>
          <w:highlight w:val="none"/>
          <w:lang w:eastAsia="zh-CN"/>
        </w:rPr>
        <w:t>）</w:t>
      </w:r>
      <w:r>
        <w:rPr>
          <w:rFonts w:hint="eastAsia" w:ascii="宋体" w:eastAsia="宋体" w:cs="宋体"/>
          <w:b/>
          <w:sz w:val="24"/>
          <w:highlight w:val="none"/>
        </w:rPr>
        <w:t>。除了贵金属等特殊危废或采用综合利用方式处置的可委托</w:t>
      </w:r>
      <w:r>
        <w:rPr>
          <w:rFonts w:hint="eastAsia" w:ascii="宋体" w:cs="宋体"/>
          <w:b/>
          <w:sz w:val="24"/>
          <w:highlight w:val="none"/>
          <w:lang w:val="en-US" w:eastAsia="zh-CN"/>
        </w:rPr>
        <w:t>浙江</w:t>
      </w:r>
      <w:r>
        <w:rPr>
          <w:rFonts w:hint="eastAsia" w:ascii="宋体" w:eastAsia="宋体" w:cs="宋体"/>
          <w:b/>
          <w:sz w:val="24"/>
          <w:highlight w:val="none"/>
        </w:rPr>
        <w:t>省外</w:t>
      </w:r>
      <w:r>
        <w:rPr>
          <w:rFonts w:hint="eastAsia" w:ascii="宋体" w:cs="宋体"/>
          <w:b/>
          <w:sz w:val="24"/>
          <w:highlight w:val="none"/>
          <w:lang w:val="en-US" w:eastAsia="zh-CN"/>
        </w:rPr>
        <w:t>单位</w:t>
      </w:r>
      <w:r>
        <w:rPr>
          <w:rFonts w:hint="eastAsia" w:ascii="宋体" w:eastAsia="宋体" w:cs="宋体"/>
          <w:b/>
          <w:sz w:val="24"/>
          <w:highlight w:val="none"/>
        </w:rPr>
        <w:t>处置，其余原则是</w:t>
      </w:r>
      <w:r>
        <w:rPr>
          <w:rFonts w:hint="eastAsia" w:ascii="宋体" w:cs="宋体"/>
          <w:b/>
          <w:sz w:val="24"/>
          <w:highlight w:val="none"/>
          <w:lang w:val="en-US" w:eastAsia="zh-CN"/>
        </w:rPr>
        <w:t>浙江</w:t>
      </w:r>
      <w:r>
        <w:rPr>
          <w:rFonts w:hint="eastAsia" w:ascii="宋体" w:eastAsia="宋体" w:cs="宋体"/>
          <w:b/>
          <w:sz w:val="24"/>
          <w:highlight w:val="none"/>
        </w:rPr>
        <w:t>省内处置</w:t>
      </w:r>
      <w:r>
        <w:rPr>
          <w:rFonts w:hint="eastAsia" w:ascii="宋体" w:cs="宋体"/>
          <w:b/>
          <w:sz w:val="24"/>
          <w:highlight w:val="none"/>
          <w:lang w:eastAsia="zh-CN"/>
        </w:rPr>
        <w:t>。</w:t>
      </w:r>
      <w:r>
        <w:rPr>
          <w:rFonts w:hint="eastAsia" w:ascii="宋体" w:eastAsia="宋体" w:cs="宋体"/>
          <w:sz w:val="24"/>
          <w:szCs w:val="24"/>
          <w:highlight w:val="none"/>
        </w:rPr>
        <w:t>综合评分相等时，则现场抽签确定。招标人及评标委员会对未成交的响应人不作原因解释。</w:t>
      </w:r>
    </w:p>
    <w:p w14:paraId="4EDA0785">
      <w:pPr>
        <w:snapToGrid w:val="0"/>
        <w:spacing w:line="420" w:lineRule="exact"/>
        <w:ind w:firstLine="424" w:firstLineChars="176"/>
        <w:rPr>
          <w:rFonts w:hint="eastAsia" w:ascii="宋体" w:eastAsia="宋体" w:cs="宋体"/>
          <w:b/>
          <w:bCs/>
          <w:sz w:val="24"/>
          <w:highlight w:val="none"/>
        </w:rPr>
      </w:pPr>
      <w:bookmarkStart w:id="9" w:name="_Toc127277068"/>
      <w:r>
        <w:rPr>
          <w:rFonts w:hint="eastAsia" w:ascii="宋体" w:cs="宋体"/>
          <w:b/>
          <w:bCs/>
          <w:sz w:val="24"/>
          <w:highlight w:val="none"/>
          <w:lang w:val="en-US" w:eastAsia="zh-CN"/>
        </w:rPr>
        <w:t>二、</w:t>
      </w:r>
      <w:r>
        <w:rPr>
          <w:rFonts w:hint="eastAsia" w:ascii="宋体" w:eastAsia="宋体" w:cs="宋体"/>
          <w:b/>
          <w:bCs/>
          <w:sz w:val="24"/>
          <w:highlight w:val="none"/>
        </w:rPr>
        <w:t>资格审查</w:t>
      </w:r>
      <w:bookmarkEnd w:id="9"/>
    </w:p>
    <w:p w14:paraId="0F31CCB0">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评标委员会对各投标人的资格进行审查，投标人资格条件不符合招标文件要求的投标无效，不再进入符合性审查。</w:t>
      </w:r>
    </w:p>
    <w:p w14:paraId="4FF15571">
      <w:pPr>
        <w:snapToGrid w:val="0"/>
        <w:spacing w:line="420" w:lineRule="exact"/>
        <w:ind w:firstLine="424" w:firstLineChars="176"/>
        <w:rPr>
          <w:rFonts w:hint="eastAsia" w:ascii="宋体" w:eastAsia="宋体" w:cs="宋体"/>
          <w:b/>
          <w:bCs/>
          <w:sz w:val="24"/>
          <w:highlight w:val="none"/>
        </w:rPr>
      </w:pPr>
      <w:bookmarkStart w:id="10" w:name="_Toc127277069"/>
      <w:r>
        <w:rPr>
          <w:rFonts w:hint="eastAsia" w:ascii="宋体" w:cs="宋体"/>
          <w:b/>
          <w:bCs/>
          <w:sz w:val="24"/>
          <w:highlight w:val="none"/>
          <w:lang w:val="en-US" w:eastAsia="zh-CN"/>
        </w:rPr>
        <w:t>三、</w:t>
      </w:r>
      <w:r>
        <w:rPr>
          <w:rFonts w:hint="eastAsia" w:ascii="宋体" w:eastAsia="宋体" w:cs="宋体"/>
          <w:b/>
          <w:bCs/>
          <w:sz w:val="24"/>
          <w:highlight w:val="none"/>
        </w:rPr>
        <w:t>符合性审查</w:t>
      </w:r>
      <w:bookmarkEnd w:id="10"/>
    </w:p>
    <w:p w14:paraId="7512964F">
      <w:pPr>
        <w:snapToGrid w:val="0"/>
        <w:spacing w:line="420" w:lineRule="exact"/>
        <w:ind w:firstLine="422" w:firstLineChars="176"/>
        <w:rPr>
          <w:rFonts w:hint="eastAsia" w:ascii="宋体" w:eastAsia="宋体" w:cs="宋体"/>
          <w:b w:val="0"/>
          <w:bCs w:val="0"/>
          <w:sz w:val="24"/>
          <w:highlight w:val="none"/>
          <w:lang w:val="en-US" w:eastAsia="zh-CN"/>
        </w:rPr>
      </w:pPr>
      <w:r>
        <w:rPr>
          <w:rFonts w:hint="eastAsia" w:ascii="宋体" w:eastAsia="宋体" w:cs="宋体"/>
          <w:sz w:val="24"/>
          <w:highlight w:val="none"/>
        </w:rPr>
        <w:t>评标委员会对资格审查合格的投标文件进行符合性审查，确定是否对招标文件作出了实质性响应。符合性审查不合格的投标无效，不再进行技术资信评审。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r>
        <w:rPr>
          <w:rFonts w:hint="eastAsia" w:ascii="宋体" w:eastAsia="宋体" w:cs="宋体"/>
          <w:b w:val="0"/>
          <w:bCs w:val="0"/>
          <w:sz w:val="24"/>
          <w:highlight w:val="none"/>
        </w:rPr>
        <w:t>招标后，经招标人组织到投标公司现场考察，不具备储存及处置能力的</w:t>
      </w:r>
      <w:r>
        <w:rPr>
          <w:rFonts w:hint="eastAsia" w:ascii="宋体" w:eastAsia="宋体" w:cs="宋体"/>
          <w:b w:val="0"/>
          <w:bCs w:val="0"/>
          <w:sz w:val="24"/>
          <w:highlight w:val="none"/>
          <w:lang w:val="en-US" w:eastAsia="zh-CN"/>
        </w:rPr>
        <w:t>单位</w:t>
      </w:r>
      <w:r>
        <w:rPr>
          <w:rFonts w:hint="eastAsia" w:ascii="宋体" w:eastAsia="宋体" w:cs="宋体"/>
          <w:b w:val="0"/>
          <w:bCs w:val="0"/>
          <w:color w:val="000000"/>
          <w:kern w:val="0"/>
          <w:sz w:val="24"/>
          <w:highlight w:val="none"/>
          <w:lang w:eastAsia="zh-CN"/>
        </w:rPr>
        <w:t>，</w:t>
      </w:r>
      <w:r>
        <w:rPr>
          <w:rFonts w:hint="eastAsia" w:ascii="宋体" w:eastAsia="宋体" w:cs="宋体"/>
          <w:b w:val="0"/>
          <w:bCs w:val="0"/>
          <w:color w:val="000000"/>
          <w:kern w:val="0"/>
          <w:sz w:val="24"/>
          <w:highlight w:val="none"/>
        </w:rPr>
        <w:t>不满足招标需求的单位，有权取消其入围资格。</w:t>
      </w:r>
    </w:p>
    <w:p w14:paraId="4AEAF5D6">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1.在资信技术</w:t>
      </w:r>
      <w:r>
        <w:rPr>
          <w:rFonts w:hint="eastAsia" w:ascii="宋体" w:eastAsia="宋体" w:cs="宋体"/>
          <w:sz w:val="24"/>
          <w:highlight w:val="none"/>
          <w:lang w:val="en-US" w:eastAsia="zh-CN"/>
        </w:rPr>
        <w:t>文件</w:t>
      </w:r>
      <w:r>
        <w:rPr>
          <w:rFonts w:hint="eastAsia" w:ascii="宋体" w:eastAsia="宋体" w:cs="宋体"/>
          <w:sz w:val="24"/>
          <w:highlight w:val="none"/>
        </w:rPr>
        <w:t>评审时，如发现下列情形之一的，投标文件将被视为无效：</w:t>
      </w:r>
    </w:p>
    <w:p w14:paraId="2A58244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（1）未按招标文件的规定提交招标文件资料费或投标保证金的；</w:t>
      </w:r>
    </w:p>
    <w:p w14:paraId="1D7DBC46">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（2）投标文件未按招标文件要求签字和盖章的；</w:t>
      </w:r>
    </w:p>
    <w:p w14:paraId="07DBDDFA">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（3）</w:t>
      </w:r>
      <w:r>
        <w:rPr>
          <w:rFonts w:hint="eastAsia" w:ascii="宋体" w:eastAsia="宋体" w:cs="宋体"/>
          <w:sz w:val="24"/>
          <w:highlight w:val="none"/>
          <w:lang w:val="zh-CN"/>
        </w:rPr>
        <w:t>投标文件非供应商法定代表人签署的，未提供或提供无效的法定代表人授权书</w:t>
      </w:r>
      <w:r>
        <w:rPr>
          <w:rFonts w:hint="eastAsia" w:ascii="宋体" w:eastAsia="宋体" w:cs="宋体"/>
          <w:sz w:val="24"/>
          <w:highlight w:val="none"/>
        </w:rPr>
        <w:t>；</w:t>
      </w:r>
    </w:p>
    <w:p w14:paraId="2B05495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（4）</w:t>
      </w:r>
      <w:r>
        <w:rPr>
          <w:rFonts w:hint="eastAsia" w:ascii="宋体" w:eastAsia="宋体" w:cs="宋体"/>
          <w:sz w:val="24"/>
          <w:highlight w:val="none"/>
          <w:lang w:val="zh-CN"/>
        </w:rPr>
        <w:t>投标文件中法定代表人和授权代表身份证复印件不齐全的</w:t>
      </w:r>
      <w:r>
        <w:rPr>
          <w:rFonts w:hint="eastAsia" w:ascii="宋体" w:eastAsia="宋体" w:cs="宋体"/>
          <w:sz w:val="24"/>
          <w:highlight w:val="none"/>
        </w:rPr>
        <w:t>；</w:t>
      </w:r>
    </w:p>
    <w:p w14:paraId="15DD3BC4">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（5）</w:t>
      </w:r>
      <w:r>
        <w:rPr>
          <w:rFonts w:hint="eastAsia" w:ascii="宋体" w:eastAsia="宋体" w:cs="宋体"/>
          <w:sz w:val="24"/>
          <w:highlight w:val="none"/>
          <w:lang w:val="zh-CN"/>
        </w:rPr>
        <w:t>投标有效期、交货期、质保期等商务条款不能满足采购文件要求的</w:t>
      </w:r>
      <w:r>
        <w:rPr>
          <w:rFonts w:hint="eastAsia" w:ascii="宋体" w:eastAsia="宋体" w:cs="宋体"/>
          <w:sz w:val="24"/>
          <w:highlight w:val="none"/>
        </w:rPr>
        <w:t>不满足招标文件要求的；</w:t>
      </w:r>
    </w:p>
    <w:p w14:paraId="1EA90345">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（6）</w:t>
      </w:r>
      <w:r>
        <w:rPr>
          <w:rFonts w:hint="eastAsia" w:ascii="宋体" w:eastAsia="宋体" w:cs="宋体"/>
          <w:sz w:val="24"/>
          <w:highlight w:val="none"/>
          <w:lang w:val="zh-CN"/>
        </w:rPr>
        <w:t>投标文件内容不全或内容字迹模糊辨认不清的等而导致评标活动无法正常进行</w:t>
      </w:r>
      <w:r>
        <w:rPr>
          <w:rFonts w:hint="eastAsia" w:ascii="宋体" w:eastAsia="宋体" w:cs="宋体"/>
          <w:sz w:val="24"/>
          <w:highlight w:val="none"/>
        </w:rPr>
        <w:t>；</w:t>
      </w:r>
    </w:p>
    <w:p w14:paraId="3085B260">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（7）投标文件标明的商务、技术响应与事实不符或虚假投标的；</w:t>
      </w:r>
    </w:p>
    <w:p w14:paraId="51819358">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（8）未响应招标文件的实质性要求的；</w:t>
      </w:r>
    </w:p>
    <w:p w14:paraId="758698F3">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（9）投标技术方案不明确，存在一个或一个以上备选（替代）投标方案的；</w:t>
      </w:r>
    </w:p>
    <w:p w14:paraId="557ABA36">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（10）投标文件含有招标人不能接受的附加条件的；</w:t>
      </w:r>
    </w:p>
    <w:p w14:paraId="3606231D">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（11）不同投标人的投标文件由同一单位IP地址或者个人编制的；</w:t>
      </w:r>
    </w:p>
    <w:p w14:paraId="289F4E75">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（12）不同投标人委托同一单位或者个人办理投标事宜的；</w:t>
      </w:r>
    </w:p>
    <w:p w14:paraId="1A46393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（13） 不同投标人的投标文件载明的项目管理成员或者联系人员为同一人的；</w:t>
      </w:r>
    </w:p>
    <w:p w14:paraId="032D6CBA">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（14）不同投标人的投标文件异常一致的；</w:t>
      </w:r>
    </w:p>
    <w:p w14:paraId="2E16A2AB">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（15）不同投标人的投标文件相互混装提价的；</w:t>
      </w:r>
    </w:p>
    <w:p w14:paraId="7A63B92D">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（16）不同投标人的投标保证金从同一单位或者个人的账户转出的；</w:t>
      </w:r>
    </w:p>
    <w:p w14:paraId="3C4C0093">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lang w:val="zh-CN"/>
        </w:rPr>
        <w:t>（</w:t>
      </w:r>
      <w:r>
        <w:rPr>
          <w:rFonts w:hint="eastAsia" w:ascii="宋体" w:eastAsia="宋体" w:cs="宋体"/>
          <w:sz w:val="24"/>
          <w:highlight w:val="none"/>
        </w:rPr>
        <w:t>17</w:t>
      </w:r>
      <w:r>
        <w:rPr>
          <w:rFonts w:hint="eastAsia" w:ascii="宋体" w:eastAsia="宋体" w:cs="宋体"/>
          <w:sz w:val="24"/>
          <w:highlight w:val="none"/>
          <w:lang w:val="zh-CN"/>
        </w:rPr>
        <w:t>）违反国家及</w:t>
      </w:r>
      <w:r>
        <w:rPr>
          <w:rFonts w:hint="eastAsia" w:ascii="宋体" w:eastAsia="宋体" w:cs="宋体"/>
          <w:sz w:val="24"/>
          <w:highlight w:val="none"/>
        </w:rPr>
        <w:t>相关</w:t>
      </w:r>
      <w:r>
        <w:rPr>
          <w:rFonts w:hint="eastAsia" w:ascii="宋体" w:eastAsia="宋体" w:cs="宋体"/>
          <w:sz w:val="24"/>
          <w:highlight w:val="none"/>
          <w:lang w:val="zh-CN"/>
        </w:rPr>
        <w:t>部门相关法律、法规、文件规定或经评标委员会认定的其他属于重大偏离；</w:t>
      </w:r>
    </w:p>
    <w:p w14:paraId="6942406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（18）法律、法规和招标文件规定的其他无效情形。</w:t>
      </w:r>
    </w:p>
    <w:p w14:paraId="3EA12584">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2.在商务经济标书评审时，如发现下列情形之一的，投标将被视为无效：</w:t>
      </w:r>
    </w:p>
    <w:p w14:paraId="3C3D2524">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（1）投未按招标文件要求</w:t>
      </w:r>
      <w:r>
        <w:rPr>
          <w:rFonts w:hint="eastAsia" w:ascii="宋体" w:eastAsia="宋体" w:cs="宋体"/>
          <w:sz w:val="24"/>
          <w:highlight w:val="none"/>
          <w:lang w:val="en-US" w:eastAsia="zh-CN"/>
        </w:rPr>
        <w:t>的格式</w:t>
      </w:r>
      <w:r>
        <w:rPr>
          <w:rFonts w:hint="eastAsia" w:ascii="宋体" w:eastAsia="宋体" w:cs="宋体"/>
          <w:sz w:val="24"/>
          <w:highlight w:val="none"/>
        </w:rPr>
        <w:t>盖章的；</w:t>
      </w:r>
    </w:p>
    <w:p w14:paraId="310DD322">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（2）法律、法规和招标文件规定的其他无效情形。</w:t>
      </w:r>
    </w:p>
    <w:p w14:paraId="4732C155">
      <w:pPr>
        <w:snapToGrid w:val="0"/>
        <w:spacing w:line="360" w:lineRule="auto"/>
        <w:ind w:left="426"/>
        <w:jc w:val="left"/>
        <w:outlineLvl w:val="1"/>
        <w:rPr>
          <w:rFonts w:hint="eastAsia" w:ascii="宋体" w:eastAsia="宋体" w:cs="宋体"/>
          <w:sz w:val="24"/>
          <w:highlight w:val="none"/>
        </w:rPr>
      </w:pPr>
      <w:bookmarkStart w:id="11" w:name="_Toc133174826"/>
      <w:r>
        <w:rPr>
          <w:rFonts w:hint="eastAsia" w:ascii="宋体"/>
          <w:b/>
          <w:color w:val="auto"/>
          <w:sz w:val="28"/>
          <w:szCs w:val="28"/>
          <w:highlight w:val="none"/>
        </w:rPr>
        <w:t>四、评审内容及标准</w:t>
      </w:r>
      <w:bookmarkEnd w:id="11"/>
    </w:p>
    <w:p w14:paraId="5FDC37B2">
      <w:pPr>
        <w:numPr>
          <w:ilvl w:val="0"/>
          <w:numId w:val="8"/>
        </w:numPr>
        <w:spacing w:line="420" w:lineRule="exact"/>
        <w:ind w:left="0" w:firstLine="482" w:firstLineChars="200"/>
        <w:rPr>
          <w:rFonts w:hint="eastAsia" w:ascii="宋体" w:eastAsia="宋体" w:cs="宋体"/>
          <w:b/>
          <w:sz w:val="24"/>
          <w:highlight w:val="none"/>
        </w:rPr>
      </w:pPr>
      <w:r>
        <w:rPr>
          <w:rFonts w:hint="eastAsia" w:ascii="宋体" w:cs="宋体"/>
          <w:b/>
          <w:sz w:val="24"/>
          <w:highlight w:val="none"/>
          <w:lang w:eastAsia="zh-CN"/>
        </w:rPr>
        <w:t>资信技术</w:t>
      </w:r>
      <w:r>
        <w:rPr>
          <w:rFonts w:hint="eastAsia" w:ascii="宋体" w:eastAsia="宋体" w:cs="宋体"/>
          <w:b/>
          <w:sz w:val="24"/>
          <w:highlight w:val="none"/>
        </w:rPr>
        <w:t>文件</w:t>
      </w:r>
      <w:r>
        <w:rPr>
          <w:rFonts w:hint="eastAsia" w:ascii="宋体" w:cs="宋体"/>
          <w:b/>
          <w:sz w:val="24"/>
          <w:highlight w:val="none"/>
          <w:lang w:val="en-US" w:eastAsia="zh-CN"/>
        </w:rPr>
        <w:t>得分</w:t>
      </w:r>
      <w:r>
        <w:rPr>
          <w:rFonts w:hint="eastAsia"/>
          <w:b/>
          <w:bCs/>
          <w:sz w:val="24"/>
          <w:highlight w:val="none"/>
        </w:rPr>
        <w:t>（满分</w:t>
      </w:r>
      <w:r>
        <w:rPr>
          <w:b/>
          <w:bCs/>
          <w:sz w:val="24"/>
          <w:highlight w:val="none"/>
        </w:rPr>
        <w:t>100</w:t>
      </w:r>
      <w:r>
        <w:rPr>
          <w:rFonts w:hint="eastAsia"/>
          <w:b/>
          <w:bCs/>
          <w:sz w:val="24"/>
          <w:highlight w:val="none"/>
        </w:rPr>
        <w:t>分，占总分权重的</w:t>
      </w:r>
      <w:r>
        <w:rPr>
          <w:rFonts w:hint="eastAsia"/>
          <w:b/>
          <w:bCs/>
          <w:sz w:val="24"/>
          <w:highlight w:val="none"/>
          <w:lang w:val="en-US" w:eastAsia="zh-CN"/>
        </w:rPr>
        <w:t>99</w:t>
      </w:r>
      <w:r>
        <w:rPr>
          <w:rFonts w:hint="eastAsia"/>
          <w:b/>
          <w:sz w:val="24"/>
          <w:highlight w:val="none"/>
        </w:rPr>
        <w:t>%）</w:t>
      </w:r>
    </w:p>
    <w:tbl>
      <w:tblPr>
        <w:tblStyle w:val="23"/>
        <w:tblW w:w="10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1"/>
        <w:gridCol w:w="7427"/>
        <w:gridCol w:w="960"/>
        <w:gridCol w:w="886"/>
      </w:tblGrid>
      <w:tr w14:paraId="5D063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0981F602">
            <w:pPr>
              <w:pStyle w:val="2"/>
              <w:spacing w:line="240" w:lineRule="auto"/>
              <w:ind w:left="0" w:firstLine="0" w:firstLineChars="0"/>
              <w:jc w:val="both"/>
              <w:rPr>
                <w:rFonts w:hint="eastAsia" w:ascii="宋体" w:eastAsia="宋体" w:cs="宋体"/>
                <w:b/>
                <w:bCs/>
                <w:sz w:val="24"/>
                <w:szCs w:val="24"/>
                <w:highlight w:val="none"/>
              </w:rPr>
            </w:pPr>
            <w:r>
              <w:rPr>
                <w:rFonts w:hint="eastAsia" w:ascii="宋体" w:eastAsia="宋体" w:cs="宋体"/>
                <w:b/>
                <w:bCs/>
                <w:sz w:val="24"/>
                <w:szCs w:val="24"/>
                <w:highlight w:val="none"/>
              </w:rPr>
              <w:t>评审内容</w:t>
            </w:r>
          </w:p>
        </w:tc>
        <w:tc>
          <w:tcPr>
            <w:tcW w:w="7427" w:type="dxa"/>
            <w:tcBorders>
              <w:top w:val="single" w:color="auto" w:sz="4" w:space="0"/>
              <w:left w:val="single" w:color="auto" w:sz="4" w:space="0"/>
              <w:bottom w:val="single" w:color="auto" w:sz="4" w:space="0"/>
              <w:right w:val="single" w:color="auto" w:sz="4" w:space="0"/>
            </w:tcBorders>
            <w:vAlign w:val="center"/>
          </w:tcPr>
          <w:p w14:paraId="7F9222A6">
            <w:pPr>
              <w:pStyle w:val="2"/>
              <w:spacing w:line="240" w:lineRule="auto"/>
              <w:jc w:val="center"/>
              <w:rPr>
                <w:rFonts w:hint="eastAsia" w:ascii="宋体" w:eastAsia="宋体" w:cs="宋体"/>
                <w:b/>
                <w:bCs/>
                <w:sz w:val="24"/>
                <w:szCs w:val="24"/>
                <w:highlight w:val="none"/>
              </w:rPr>
            </w:pPr>
            <w:r>
              <w:rPr>
                <w:rFonts w:hint="eastAsia" w:ascii="宋体" w:eastAsia="宋体" w:cs="宋体"/>
                <w:b/>
                <w:bCs/>
                <w:sz w:val="24"/>
                <w:szCs w:val="24"/>
                <w:highlight w:val="none"/>
              </w:rPr>
              <w:t>评审标准</w:t>
            </w:r>
          </w:p>
        </w:tc>
        <w:tc>
          <w:tcPr>
            <w:tcW w:w="960" w:type="dxa"/>
            <w:tcBorders>
              <w:top w:val="single" w:color="auto" w:sz="4" w:space="0"/>
              <w:left w:val="single" w:color="auto" w:sz="4" w:space="0"/>
              <w:bottom w:val="single" w:color="auto" w:sz="4" w:space="0"/>
              <w:right w:val="single" w:color="auto" w:sz="4" w:space="0"/>
            </w:tcBorders>
            <w:vAlign w:val="center"/>
          </w:tcPr>
          <w:p w14:paraId="66820919">
            <w:pPr>
              <w:pStyle w:val="2"/>
              <w:spacing w:line="240" w:lineRule="auto"/>
              <w:ind w:firstLine="0" w:firstLineChars="0"/>
              <w:jc w:val="center"/>
              <w:rPr>
                <w:rFonts w:hint="eastAsia" w:ascii="宋体" w:eastAsia="宋体" w:cs="宋体"/>
                <w:b/>
                <w:bCs/>
                <w:sz w:val="24"/>
                <w:szCs w:val="24"/>
                <w:highlight w:val="none"/>
              </w:rPr>
            </w:pPr>
            <w:r>
              <w:rPr>
                <w:rFonts w:hint="eastAsia" w:ascii="宋体" w:eastAsia="宋体" w:cs="宋体"/>
                <w:b/>
                <w:bCs/>
                <w:sz w:val="24"/>
                <w:szCs w:val="24"/>
                <w:highlight w:val="none"/>
              </w:rPr>
              <w:t>分值范围</w:t>
            </w:r>
          </w:p>
        </w:tc>
        <w:tc>
          <w:tcPr>
            <w:tcW w:w="886" w:type="dxa"/>
            <w:tcBorders>
              <w:top w:val="single" w:color="auto" w:sz="4" w:space="0"/>
              <w:left w:val="single" w:color="auto" w:sz="4" w:space="0"/>
              <w:bottom w:val="single" w:color="auto" w:sz="4" w:space="0"/>
              <w:right w:val="single" w:color="auto" w:sz="4" w:space="0"/>
            </w:tcBorders>
            <w:vAlign w:val="center"/>
          </w:tcPr>
          <w:p w14:paraId="59984E38">
            <w:pPr>
              <w:pStyle w:val="2"/>
              <w:spacing w:line="240" w:lineRule="auto"/>
              <w:ind w:firstLine="0" w:firstLineChars="0"/>
              <w:jc w:val="center"/>
              <w:rPr>
                <w:rFonts w:hint="eastAsia" w:ascii="宋体" w:eastAsia="宋体" w:cs="宋体"/>
                <w:b/>
                <w:bCs/>
                <w:sz w:val="24"/>
                <w:szCs w:val="24"/>
                <w:highlight w:val="none"/>
              </w:rPr>
            </w:pPr>
            <w:r>
              <w:rPr>
                <w:rFonts w:hint="eastAsia" w:ascii="宋体"/>
                <w:b/>
                <w:bCs/>
                <w:color w:val="auto"/>
                <w:sz w:val="24"/>
                <w:lang w:val="en-US" w:eastAsia="zh-CN"/>
              </w:rPr>
              <w:t>权重</w:t>
            </w:r>
          </w:p>
        </w:tc>
      </w:tr>
      <w:tr w14:paraId="5EE5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351" w:type="dxa"/>
            <w:tcBorders>
              <w:top w:val="single" w:color="auto" w:sz="4" w:space="0"/>
              <w:left w:val="single" w:color="auto" w:sz="4" w:space="0"/>
              <w:bottom w:val="single" w:color="auto" w:sz="4" w:space="0"/>
              <w:right w:val="single" w:color="auto" w:sz="4" w:space="0"/>
            </w:tcBorders>
            <w:vAlign w:val="center"/>
          </w:tcPr>
          <w:p w14:paraId="327F7006">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企业实力</w:t>
            </w:r>
          </w:p>
        </w:tc>
        <w:tc>
          <w:tcPr>
            <w:tcW w:w="7427" w:type="dxa"/>
            <w:tcBorders>
              <w:top w:val="single" w:color="auto" w:sz="4" w:space="0"/>
              <w:left w:val="single" w:color="auto" w:sz="4" w:space="0"/>
              <w:bottom w:val="single" w:color="auto" w:sz="4" w:space="0"/>
              <w:right w:val="single" w:color="auto" w:sz="4" w:space="0"/>
            </w:tcBorders>
            <w:vAlign w:val="center"/>
          </w:tcPr>
          <w:p w14:paraId="17341F43">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企业实力</w:t>
            </w:r>
            <w:r>
              <w:rPr>
                <w:rFonts w:hint="eastAsia" w:cs="宋体"/>
                <w:sz w:val="24"/>
                <w:szCs w:val="24"/>
                <w:highlight w:val="none"/>
                <w:lang w:eastAsia="zh-CN"/>
              </w:rPr>
              <w:t>：</w:t>
            </w:r>
            <w:r>
              <w:rPr>
                <w:rFonts w:hint="eastAsia" w:ascii="宋体" w:eastAsia="宋体" w:cs="宋体"/>
                <w:sz w:val="24"/>
                <w:szCs w:val="24"/>
                <w:highlight w:val="none"/>
              </w:rPr>
              <w:t>评委可根据投标人所提供的相关资料，包括经营范围，存储及处置能力，处置设备酌情打分.</w:t>
            </w:r>
          </w:p>
        </w:tc>
        <w:tc>
          <w:tcPr>
            <w:tcW w:w="960" w:type="dxa"/>
            <w:tcBorders>
              <w:top w:val="single" w:color="auto" w:sz="4" w:space="0"/>
              <w:left w:val="single" w:color="auto" w:sz="4" w:space="0"/>
              <w:bottom w:val="single" w:color="auto" w:sz="4" w:space="0"/>
              <w:right w:val="single" w:color="auto" w:sz="4" w:space="0"/>
            </w:tcBorders>
            <w:vAlign w:val="center"/>
          </w:tcPr>
          <w:p w14:paraId="54BF1C7F">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6D696FB6">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20%</w:t>
            </w:r>
          </w:p>
        </w:tc>
      </w:tr>
      <w:tr w14:paraId="5331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54B3208A">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企业环境信用评级</w:t>
            </w:r>
          </w:p>
        </w:tc>
        <w:tc>
          <w:tcPr>
            <w:tcW w:w="7427" w:type="dxa"/>
            <w:tcBorders>
              <w:top w:val="single" w:color="auto" w:sz="4" w:space="0"/>
              <w:left w:val="single" w:color="auto" w:sz="4" w:space="0"/>
              <w:bottom w:val="single" w:color="auto" w:sz="4" w:space="0"/>
              <w:right w:val="single" w:color="auto" w:sz="4" w:space="0"/>
            </w:tcBorders>
            <w:vAlign w:val="center"/>
          </w:tcPr>
          <w:p w14:paraId="051E7BC9">
            <w:pPr>
              <w:pStyle w:val="2"/>
              <w:spacing w:line="240" w:lineRule="auto"/>
              <w:ind w:firstLine="264" w:firstLineChars="100"/>
              <w:jc w:val="left"/>
              <w:rPr>
                <w:rFonts w:hint="eastAsia" w:ascii="宋体" w:eastAsia="宋体" w:cs="宋体"/>
                <w:sz w:val="24"/>
                <w:szCs w:val="24"/>
                <w:highlight w:val="none"/>
              </w:rPr>
            </w:pPr>
            <w:r>
              <w:rPr>
                <w:rFonts w:hint="eastAsia" w:ascii="宋体" w:eastAsia="宋体" w:cs="宋体"/>
                <w:sz w:val="24"/>
                <w:szCs w:val="24"/>
                <w:highlight w:val="none"/>
              </w:rPr>
              <w:t>企业环境信用评级</w:t>
            </w:r>
            <w:r>
              <w:rPr>
                <w:rFonts w:hint="eastAsia" w:cs="宋体"/>
                <w:sz w:val="24"/>
                <w:szCs w:val="24"/>
                <w:highlight w:val="none"/>
                <w:lang w:eastAsia="zh-CN"/>
              </w:rPr>
              <w:t>：</w:t>
            </w:r>
            <w:r>
              <w:rPr>
                <w:rFonts w:hint="eastAsia" w:ascii="宋体" w:eastAsia="宋体" w:cs="宋体"/>
                <w:sz w:val="24"/>
                <w:szCs w:val="24"/>
                <w:highlight w:val="none"/>
              </w:rPr>
              <w:t>1、201</w:t>
            </w:r>
            <w:r>
              <w:rPr>
                <w:rFonts w:ascii="宋体" w:eastAsia="宋体" w:cs="宋体"/>
                <w:sz w:val="24"/>
                <w:szCs w:val="24"/>
                <w:highlight w:val="none"/>
              </w:rPr>
              <w:t>8</w:t>
            </w:r>
            <w:r>
              <w:rPr>
                <w:rFonts w:hint="eastAsia" w:ascii="宋体" w:eastAsia="宋体" w:cs="宋体"/>
                <w:sz w:val="24"/>
                <w:szCs w:val="24"/>
                <w:highlight w:val="none"/>
              </w:rPr>
              <w:t>年至今获得过行政工商部门颁发“守合同重信用”单位的得</w:t>
            </w:r>
            <w:r>
              <w:rPr>
                <w:rFonts w:hint="eastAsia" w:cs="宋体"/>
                <w:sz w:val="24"/>
                <w:szCs w:val="24"/>
                <w:highlight w:val="none"/>
                <w:lang w:val="en-US" w:eastAsia="zh-CN"/>
              </w:rPr>
              <w:t>20</w:t>
            </w:r>
            <w:r>
              <w:rPr>
                <w:rFonts w:hint="eastAsia" w:ascii="宋体" w:eastAsia="宋体" w:cs="宋体"/>
                <w:sz w:val="24"/>
                <w:szCs w:val="24"/>
                <w:highlight w:val="none"/>
              </w:rPr>
              <w:t>分。</w:t>
            </w:r>
          </w:p>
          <w:p w14:paraId="64BD7B45">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2、投标人具有有效期内的第三方资信评级机构颁发的信用等级证书：AAA级得</w:t>
            </w:r>
            <w:r>
              <w:rPr>
                <w:rFonts w:hint="eastAsia" w:cs="宋体"/>
                <w:sz w:val="24"/>
                <w:szCs w:val="24"/>
                <w:highlight w:val="none"/>
                <w:lang w:val="en-US" w:eastAsia="zh-CN"/>
              </w:rPr>
              <w:t>20</w:t>
            </w:r>
            <w:r>
              <w:rPr>
                <w:rFonts w:hint="eastAsia" w:ascii="宋体" w:eastAsia="宋体" w:cs="宋体"/>
                <w:sz w:val="24"/>
                <w:szCs w:val="24"/>
                <w:highlight w:val="none"/>
              </w:rPr>
              <w:t>分：AA级得</w:t>
            </w:r>
            <w:r>
              <w:rPr>
                <w:rFonts w:hint="eastAsia" w:cs="宋体"/>
                <w:sz w:val="24"/>
                <w:szCs w:val="24"/>
                <w:highlight w:val="none"/>
                <w:lang w:val="en-US" w:eastAsia="zh-CN"/>
              </w:rPr>
              <w:t>10</w:t>
            </w:r>
            <w:r>
              <w:rPr>
                <w:rFonts w:hint="eastAsia" w:ascii="宋体" w:eastAsia="宋体" w:cs="宋体"/>
                <w:sz w:val="24"/>
                <w:szCs w:val="24"/>
                <w:highlight w:val="none"/>
              </w:rPr>
              <w:t>分：A级得0分。提供证书复印件加盖公章，不提供不得分</w:t>
            </w:r>
          </w:p>
          <w:p w14:paraId="4EF1FF17">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3、投标人具有国家认证认可监督管理委员会批准认可的认证机构颁发的，且在有效期内的“IS014001环境管理体系认证的得</w:t>
            </w:r>
            <w:r>
              <w:rPr>
                <w:rFonts w:hint="eastAsia" w:cs="宋体"/>
                <w:sz w:val="24"/>
                <w:szCs w:val="24"/>
                <w:highlight w:val="none"/>
                <w:lang w:val="en-US" w:eastAsia="zh-CN"/>
              </w:rPr>
              <w:t>20</w:t>
            </w:r>
            <w:r>
              <w:rPr>
                <w:rFonts w:hint="eastAsia" w:ascii="宋体" w:eastAsia="宋体" w:cs="宋体"/>
                <w:sz w:val="24"/>
                <w:szCs w:val="24"/>
                <w:highlight w:val="none"/>
              </w:rPr>
              <w:t>分；投标人具有国家认证认可监督管理委员会批准认可的认证机构颁发的，且在有效期内的IS045001职业健康安全管理体认证的得</w:t>
            </w:r>
            <w:r>
              <w:rPr>
                <w:rFonts w:hint="eastAsia" w:cs="宋体"/>
                <w:sz w:val="24"/>
                <w:szCs w:val="24"/>
                <w:highlight w:val="none"/>
                <w:lang w:val="en-US" w:eastAsia="zh-CN"/>
              </w:rPr>
              <w:t>20</w:t>
            </w:r>
            <w:r>
              <w:rPr>
                <w:rFonts w:hint="eastAsia" w:ascii="宋体" w:eastAsia="宋体" w:cs="宋体"/>
                <w:sz w:val="24"/>
                <w:szCs w:val="24"/>
                <w:highlight w:val="none"/>
              </w:rPr>
              <w:t>分；投标人具有国家认证认可监督管理委员会批准认可的认证机构颁发的，且在有效期内的IS09001质量管理体系认证的得</w:t>
            </w:r>
            <w:r>
              <w:rPr>
                <w:rFonts w:hint="eastAsia" w:cs="宋体"/>
                <w:sz w:val="24"/>
                <w:szCs w:val="24"/>
                <w:highlight w:val="none"/>
                <w:lang w:val="en-US" w:eastAsia="zh-CN"/>
              </w:rPr>
              <w:t>20</w:t>
            </w:r>
            <w:r>
              <w:rPr>
                <w:rFonts w:hint="eastAsia" w:ascii="宋体" w:eastAsia="宋体" w:cs="宋体"/>
                <w:sz w:val="24"/>
                <w:szCs w:val="24"/>
                <w:highlight w:val="none"/>
              </w:rPr>
              <w:t>分。</w:t>
            </w:r>
          </w:p>
          <w:p w14:paraId="06EF15FD">
            <w:pPr>
              <w:pStyle w:val="2"/>
              <w:spacing w:line="240" w:lineRule="auto"/>
              <w:rPr>
                <w:rFonts w:hint="eastAsia" w:ascii="宋体" w:eastAsia="宋体" w:cs="宋体"/>
                <w:sz w:val="24"/>
                <w:szCs w:val="24"/>
                <w:highlight w:val="none"/>
              </w:rPr>
            </w:pPr>
            <w:r>
              <w:rPr>
                <w:rFonts w:hint="eastAsia" w:ascii="宋体" w:eastAsia="宋体" w:cs="宋体"/>
                <w:sz w:val="24"/>
                <w:szCs w:val="24"/>
                <w:highlight w:val="none"/>
              </w:rPr>
              <w:t>证明材料：证书复印件、全国认证认可信用公共服务平台查询记录截图加盖公章（查询网站：国家市场监督管理总局全国认证认可信息公共服务平台</w:t>
            </w:r>
          </w:p>
          <w:p w14:paraId="495D76EC">
            <w:pPr>
              <w:pStyle w:val="2"/>
              <w:spacing w:line="240" w:lineRule="auto"/>
              <w:ind w:firstLine="0" w:firstLineChars="0"/>
              <w:rPr>
                <w:rFonts w:hint="eastAsia" w:ascii="宋体" w:eastAsia="宋体" w:cs="宋体"/>
                <w:sz w:val="24"/>
                <w:szCs w:val="24"/>
                <w:highlight w:val="none"/>
              </w:rPr>
            </w:pPr>
            <w:r>
              <w:rPr>
                <w:rFonts w:hint="eastAsia" w:ascii="宋体" w:eastAsia="宋体" w:cs="宋体"/>
                <w:sz w:val="24"/>
                <w:szCs w:val="24"/>
                <w:highlight w:val="none"/>
              </w:rPr>
              <w:t>http://cx.cnca.cn/CertECloud/index/index/page）</w:t>
            </w:r>
          </w:p>
        </w:tc>
        <w:tc>
          <w:tcPr>
            <w:tcW w:w="960" w:type="dxa"/>
            <w:tcBorders>
              <w:top w:val="single" w:color="auto" w:sz="4" w:space="0"/>
              <w:left w:val="single" w:color="auto" w:sz="4" w:space="0"/>
              <w:bottom w:val="single" w:color="auto" w:sz="4" w:space="0"/>
              <w:right w:val="single" w:color="auto" w:sz="4" w:space="0"/>
            </w:tcBorders>
            <w:vAlign w:val="center"/>
          </w:tcPr>
          <w:p w14:paraId="7DEFDDB6">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6F59CEFB">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5%</w:t>
            </w:r>
          </w:p>
        </w:tc>
      </w:tr>
      <w:tr w14:paraId="3B826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1351" w:type="dxa"/>
            <w:tcBorders>
              <w:top w:val="single" w:color="auto" w:sz="4" w:space="0"/>
              <w:left w:val="single" w:color="auto" w:sz="4" w:space="0"/>
              <w:bottom w:val="single" w:color="auto" w:sz="4" w:space="0"/>
              <w:right w:val="single" w:color="auto" w:sz="4" w:space="0"/>
            </w:tcBorders>
            <w:vAlign w:val="center"/>
          </w:tcPr>
          <w:p w14:paraId="6BDECE01">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专业获奖情况</w:t>
            </w:r>
          </w:p>
        </w:tc>
        <w:tc>
          <w:tcPr>
            <w:tcW w:w="7427" w:type="dxa"/>
            <w:tcBorders>
              <w:top w:val="single" w:color="auto" w:sz="4" w:space="0"/>
              <w:left w:val="single" w:color="auto" w:sz="4" w:space="0"/>
              <w:bottom w:val="single" w:color="auto" w:sz="4" w:space="0"/>
              <w:right w:val="single" w:color="auto" w:sz="4" w:space="0"/>
            </w:tcBorders>
            <w:vAlign w:val="center"/>
          </w:tcPr>
          <w:p w14:paraId="65C2C5C9">
            <w:pPr>
              <w:pStyle w:val="2"/>
              <w:spacing w:line="240" w:lineRule="auto"/>
              <w:ind w:firstLine="264" w:firstLineChars="100"/>
              <w:jc w:val="left"/>
              <w:rPr>
                <w:rFonts w:hint="eastAsia" w:ascii="宋体" w:eastAsia="宋体" w:cs="宋体"/>
                <w:sz w:val="24"/>
                <w:szCs w:val="24"/>
                <w:highlight w:val="none"/>
              </w:rPr>
            </w:pPr>
            <w:r>
              <w:rPr>
                <w:rFonts w:hint="eastAsia" w:ascii="宋体" w:eastAsia="宋体" w:cs="宋体"/>
                <w:sz w:val="24"/>
                <w:szCs w:val="24"/>
                <w:highlight w:val="none"/>
              </w:rPr>
              <w:t>企业环境信用评级</w:t>
            </w:r>
            <w:r>
              <w:rPr>
                <w:rFonts w:hint="eastAsia" w:cs="宋体"/>
                <w:sz w:val="24"/>
                <w:szCs w:val="24"/>
                <w:highlight w:val="none"/>
                <w:lang w:eastAsia="zh-CN"/>
              </w:rPr>
              <w:t>：</w:t>
            </w:r>
            <w:r>
              <w:rPr>
                <w:rFonts w:hint="eastAsia" w:ascii="宋体" w:eastAsia="宋体" w:cs="宋体"/>
                <w:sz w:val="24"/>
                <w:szCs w:val="24"/>
                <w:highlight w:val="none"/>
              </w:rPr>
              <w:t>投标企业获得环境保护主管部门（含行业协会）颁发的行业国家级相关荣誉证书的得</w:t>
            </w:r>
            <w:r>
              <w:rPr>
                <w:rFonts w:hint="eastAsia" w:cs="宋体"/>
                <w:sz w:val="24"/>
                <w:szCs w:val="24"/>
                <w:highlight w:val="none"/>
                <w:lang w:val="en-US" w:eastAsia="zh-CN"/>
              </w:rPr>
              <w:t>100</w:t>
            </w:r>
            <w:r>
              <w:rPr>
                <w:rFonts w:hint="eastAsia" w:ascii="宋体" w:eastAsia="宋体" w:cs="宋体"/>
                <w:sz w:val="24"/>
                <w:szCs w:val="24"/>
                <w:highlight w:val="none"/>
              </w:rPr>
              <w:t>分;获得省级相关荣誉证书的得</w:t>
            </w:r>
            <w:r>
              <w:rPr>
                <w:rFonts w:hint="eastAsia" w:cs="宋体"/>
                <w:sz w:val="24"/>
                <w:szCs w:val="24"/>
                <w:highlight w:val="none"/>
                <w:lang w:val="en-US" w:eastAsia="zh-CN"/>
              </w:rPr>
              <w:t>50</w:t>
            </w:r>
            <w:r>
              <w:rPr>
                <w:rFonts w:hint="eastAsia" w:ascii="宋体" w:eastAsia="宋体" w:cs="宋体"/>
                <w:sz w:val="24"/>
                <w:szCs w:val="24"/>
                <w:highlight w:val="none"/>
              </w:rPr>
              <w:t>分;获得</w:t>
            </w:r>
            <w:r>
              <w:rPr>
                <w:rFonts w:hint="eastAsia" w:cs="宋体"/>
                <w:sz w:val="24"/>
                <w:szCs w:val="24"/>
                <w:highlight w:val="none"/>
                <w:lang w:val="en-US" w:eastAsia="zh-CN"/>
              </w:rPr>
              <w:t>市</w:t>
            </w:r>
            <w:r>
              <w:rPr>
                <w:rFonts w:hint="eastAsia" w:ascii="宋体" w:eastAsia="宋体" w:cs="宋体"/>
                <w:sz w:val="24"/>
                <w:szCs w:val="24"/>
                <w:highlight w:val="none"/>
              </w:rPr>
              <w:t>级相关荣誉证书的得</w:t>
            </w:r>
            <w:r>
              <w:rPr>
                <w:rFonts w:hint="eastAsia" w:cs="宋体"/>
                <w:sz w:val="24"/>
                <w:szCs w:val="24"/>
                <w:highlight w:val="none"/>
                <w:lang w:val="en-US" w:eastAsia="zh-CN"/>
              </w:rPr>
              <w:t>20</w:t>
            </w:r>
            <w:r>
              <w:rPr>
                <w:rFonts w:hint="eastAsia" w:ascii="宋体" w:eastAsia="宋体" w:cs="宋体"/>
                <w:sz w:val="24"/>
                <w:szCs w:val="24"/>
                <w:highlight w:val="none"/>
              </w:rPr>
              <w:t>分;提供证书复印件加盖公章，不提供不得分</w:t>
            </w:r>
            <w:r>
              <w:rPr>
                <w:rStyle w:val="116"/>
                <w:rFonts w:hint="eastAsia" w:ascii="宋体" w:eastAsia="宋体" w:cs="宋体"/>
                <w:sz w:val="24"/>
                <w:highlight w:val="none"/>
              </w:rPr>
              <w:t>。</w:t>
            </w:r>
          </w:p>
        </w:tc>
        <w:tc>
          <w:tcPr>
            <w:tcW w:w="960" w:type="dxa"/>
            <w:tcBorders>
              <w:top w:val="single" w:color="auto" w:sz="4" w:space="0"/>
              <w:left w:val="single" w:color="auto" w:sz="4" w:space="0"/>
              <w:bottom w:val="single" w:color="auto" w:sz="4" w:space="0"/>
              <w:right w:val="single" w:color="auto" w:sz="4" w:space="0"/>
            </w:tcBorders>
            <w:vAlign w:val="center"/>
          </w:tcPr>
          <w:p w14:paraId="1A960BC0">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48AA64CD">
            <w:pPr>
              <w:pStyle w:val="2"/>
              <w:spacing w:line="240" w:lineRule="auto"/>
              <w:ind w:firstLine="0" w:firstLineChars="0"/>
              <w:jc w:val="center"/>
              <w:rPr>
                <w:rFonts w:hint="eastAsia" w:ascii="宋体" w:eastAsia="宋体" w:cs="宋体"/>
                <w:sz w:val="24"/>
                <w:szCs w:val="24"/>
                <w:highlight w:val="none"/>
              </w:rPr>
            </w:pPr>
            <w:r>
              <w:rPr>
                <w:rFonts w:hint="eastAsia" w:cs="宋体"/>
                <w:sz w:val="24"/>
                <w:szCs w:val="24"/>
                <w:highlight w:val="none"/>
                <w:lang w:val="en-US" w:eastAsia="zh-CN"/>
              </w:rPr>
              <w:t>5%</w:t>
            </w:r>
          </w:p>
        </w:tc>
      </w:tr>
      <w:tr w14:paraId="5FD4F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2A6BCADC">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投标人业绩</w:t>
            </w:r>
          </w:p>
        </w:tc>
        <w:tc>
          <w:tcPr>
            <w:tcW w:w="7427" w:type="dxa"/>
            <w:tcBorders>
              <w:top w:val="single" w:color="auto" w:sz="4" w:space="0"/>
              <w:left w:val="single" w:color="auto" w:sz="4" w:space="0"/>
              <w:bottom w:val="single" w:color="auto" w:sz="4" w:space="0"/>
              <w:right w:val="single" w:color="auto" w:sz="4" w:space="0"/>
            </w:tcBorders>
            <w:vAlign w:val="center"/>
          </w:tcPr>
          <w:p w14:paraId="1CB41FFD">
            <w:pPr>
              <w:pStyle w:val="2"/>
              <w:spacing w:line="240" w:lineRule="auto"/>
              <w:ind w:firstLine="264" w:firstLineChars="100"/>
              <w:rPr>
                <w:rFonts w:hint="eastAsia" w:ascii="宋体" w:eastAsia="宋体" w:cs="宋体"/>
                <w:highlight w:val="none"/>
              </w:rPr>
            </w:pPr>
            <w:r>
              <w:rPr>
                <w:rFonts w:hint="eastAsia" w:ascii="宋体" w:eastAsia="宋体" w:cs="宋体"/>
                <w:sz w:val="24"/>
                <w:szCs w:val="24"/>
                <w:highlight w:val="none"/>
              </w:rPr>
              <w:t>投标人业绩</w:t>
            </w:r>
            <w:r>
              <w:rPr>
                <w:rFonts w:hint="eastAsia" w:cs="宋体"/>
                <w:sz w:val="24"/>
                <w:szCs w:val="24"/>
                <w:highlight w:val="none"/>
                <w:lang w:eastAsia="zh-CN"/>
              </w:rPr>
              <w:t>：</w:t>
            </w:r>
            <w:r>
              <w:rPr>
                <w:rFonts w:ascii="宋体" w:eastAsia="宋体" w:cs="宋体"/>
                <w:sz w:val="24"/>
                <w:szCs w:val="24"/>
                <w:highlight w:val="none"/>
              </w:rPr>
              <w:t>2022</w:t>
            </w:r>
            <w:r>
              <w:rPr>
                <w:rFonts w:hint="eastAsia" w:ascii="宋体" w:eastAsia="宋体" w:cs="宋体"/>
                <w:sz w:val="24"/>
                <w:szCs w:val="24"/>
                <w:highlight w:val="none"/>
              </w:rPr>
              <w:t>年以来，在</w:t>
            </w:r>
            <w:r>
              <w:rPr>
                <w:rFonts w:hint="eastAsia" w:ascii="宋体" w:eastAsia="宋体" w:cs="宋体"/>
                <w:sz w:val="24"/>
                <w:szCs w:val="24"/>
                <w:highlight w:val="none"/>
                <w:lang w:val="zh-CN"/>
              </w:rPr>
              <w:t>同类化工企业</w:t>
            </w:r>
            <w:r>
              <w:rPr>
                <w:rFonts w:hint="eastAsia" w:ascii="宋体" w:eastAsia="宋体" w:cs="宋体"/>
                <w:sz w:val="24"/>
                <w:szCs w:val="24"/>
                <w:highlight w:val="none"/>
              </w:rPr>
              <w:t>承接过类似工程处置利用业绩的，每一个得</w:t>
            </w:r>
            <w:r>
              <w:rPr>
                <w:rFonts w:hint="eastAsia" w:cs="宋体"/>
                <w:sz w:val="24"/>
                <w:szCs w:val="24"/>
                <w:highlight w:val="none"/>
                <w:lang w:val="en-US" w:eastAsia="zh-CN"/>
              </w:rPr>
              <w:t>10</w:t>
            </w:r>
            <w:r>
              <w:rPr>
                <w:rFonts w:hint="eastAsia" w:ascii="宋体" w:eastAsia="宋体" w:cs="宋体"/>
                <w:sz w:val="24"/>
                <w:szCs w:val="24"/>
                <w:highlight w:val="none"/>
              </w:rPr>
              <w:t>分。最高得</w:t>
            </w:r>
            <w:r>
              <w:rPr>
                <w:rFonts w:hint="eastAsia" w:cs="宋体"/>
                <w:sz w:val="24"/>
                <w:szCs w:val="24"/>
                <w:highlight w:val="none"/>
                <w:lang w:val="en-US" w:eastAsia="zh-CN"/>
              </w:rPr>
              <w:t>100</w:t>
            </w:r>
            <w:r>
              <w:rPr>
                <w:rFonts w:hint="eastAsia" w:ascii="宋体" w:eastAsia="宋体" w:cs="宋体"/>
                <w:sz w:val="24"/>
                <w:szCs w:val="24"/>
                <w:highlight w:val="none"/>
              </w:rPr>
              <w:t>分。</w:t>
            </w:r>
            <w:r>
              <w:rPr>
                <w:rFonts w:hint="eastAsia" w:ascii="宋体" w:eastAsia="宋体" w:cs="宋体"/>
                <w:sz w:val="24"/>
                <w:szCs w:val="24"/>
              </w:rPr>
              <w:t>在上一招标周期内入围但不参与业务报价的或者合同履约有问题的</w:t>
            </w:r>
            <w:r>
              <w:rPr>
                <w:rFonts w:ascii="宋体" w:eastAsia="宋体" w:cs="宋体"/>
                <w:sz w:val="24"/>
                <w:szCs w:val="24"/>
              </w:rPr>
              <w:t>，不得分</w:t>
            </w:r>
            <w:r>
              <w:rPr>
                <w:rFonts w:hint="eastAsia" w:ascii="宋体" w:eastAsia="宋体" w:cs="宋体"/>
                <w:sz w:val="24"/>
                <w:szCs w:val="24"/>
              </w:rPr>
              <w:t>；</w:t>
            </w:r>
          </w:p>
        </w:tc>
        <w:tc>
          <w:tcPr>
            <w:tcW w:w="960" w:type="dxa"/>
            <w:tcBorders>
              <w:top w:val="single" w:color="auto" w:sz="4" w:space="0"/>
              <w:left w:val="single" w:color="auto" w:sz="4" w:space="0"/>
              <w:bottom w:val="single" w:color="auto" w:sz="4" w:space="0"/>
              <w:right w:val="single" w:color="auto" w:sz="4" w:space="0"/>
            </w:tcBorders>
            <w:vAlign w:val="center"/>
          </w:tcPr>
          <w:p w14:paraId="7B5B520D">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2A6C94E9">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15%</w:t>
            </w:r>
          </w:p>
        </w:tc>
      </w:tr>
      <w:tr w14:paraId="0E4FE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470510E4">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处置方案</w:t>
            </w:r>
          </w:p>
        </w:tc>
        <w:tc>
          <w:tcPr>
            <w:tcW w:w="7427" w:type="dxa"/>
            <w:tcBorders>
              <w:top w:val="single" w:color="auto" w:sz="4" w:space="0"/>
              <w:left w:val="single" w:color="auto" w:sz="4" w:space="0"/>
              <w:bottom w:val="single" w:color="auto" w:sz="4" w:space="0"/>
              <w:right w:val="single" w:color="auto" w:sz="4" w:space="0"/>
            </w:tcBorders>
            <w:vAlign w:val="center"/>
          </w:tcPr>
          <w:p w14:paraId="3293AC1B">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处置方案</w:t>
            </w:r>
            <w:r>
              <w:rPr>
                <w:rFonts w:hint="eastAsia" w:cs="宋体"/>
                <w:sz w:val="24"/>
                <w:szCs w:val="24"/>
                <w:highlight w:val="none"/>
                <w:lang w:eastAsia="zh-CN"/>
              </w:rPr>
              <w:t>：</w:t>
            </w:r>
            <w:r>
              <w:rPr>
                <w:rStyle w:val="116"/>
                <w:rFonts w:hint="eastAsia" w:ascii="宋体" w:eastAsia="宋体" w:cs="宋体"/>
                <w:sz w:val="24"/>
                <w:highlight w:val="none"/>
              </w:rPr>
              <w:t>根据</w:t>
            </w:r>
            <w:r>
              <w:rPr>
                <w:rFonts w:hint="eastAsia" w:ascii="宋体" w:eastAsia="宋体" w:cs="宋体"/>
                <w:sz w:val="24"/>
                <w:szCs w:val="24"/>
                <w:highlight w:val="none"/>
              </w:rPr>
              <w:t>处置利用方案，包括取样运输等措施</w:t>
            </w:r>
            <w:r>
              <w:rPr>
                <w:rStyle w:val="116"/>
                <w:rFonts w:hint="eastAsia" w:ascii="宋体" w:eastAsia="宋体" w:cs="宋体"/>
                <w:sz w:val="24"/>
                <w:highlight w:val="none"/>
              </w:rPr>
              <w:t>，酌情打分。</w:t>
            </w:r>
            <w:r>
              <w:rPr>
                <w:rFonts w:hint="eastAsia" w:ascii="宋体" w:eastAsia="宋体" w:cs="宋体"/>
                <w:sz w:val="24"/>
                <w:szCs w:val="24"/>
                <w:highlight w:val="none"/>
              </w:rPr>
              <w:t>其中①承诺配备现场联络人并做好危废转移联络沟通相关事宜；②承诺处置周期不超过半年，原则上不超过一年。</w:t>
            </w:r>
          </w:p>
        </w:tc>
        <w:tc>
          <w:tcPr>
            <w:tcW w:w="960" w:type="dxa"/>
            <w:tcBorders>
              <w:top w:val="single" w:color="auto" w:sz="4" w:space="0"/>
              <w:left w:val="single" w:color="auto" w:sz="4" w:space="0"/>
              <w:bottom w:val="single" w:color="auto" w:sz="4" w:space="0"/>
              <w:right w:val="single" w:color="auto" w:sz="4" w:space="0"/>
            </w:tcBorders>
            <w:vAlign w:val="center"/>
          </w:tcPr>
          <w:p w14:paraId="0C05ED30">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1B2704D9">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15%</w:t>
            </w:r>
          </w:p>
        </w:tc>
      </w:tr>
      <w:tr w14:paraId="2B3DE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2C2AF2E5">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工艺及设备先进性</w:t>
            </w:r>
          </w:p>
        </w:tc>
        <w:tc>
          <w:tcPr>
            <w:tcW w:w="7427" w:type="dxa"/>
            <w:tcBorders>
              <w:top w:val="single" w:color="auto" w:sz="4" w:space="0"/>
              <w:left w:val="single" w:color="auto" w:sz="4" w:space="0"/>
              <w:bottom w:val="single" w:color="auto" w:sz="4" w:space="0"/>
              <w:right w:val="single" w:color="auto" w:sz="4" w:space="0"/>
            </w:tcBorders>
            <w:vAlign w:val="center"/>
          </w:tcPr>
          <w:p w14:paraId="685621BB">
            <w:pPr>
              <w:pStyle w:val="2"/>
              <w:spacing w:line="240" w:lineRule="auto"/>
              <w:ind w:firstLine="264" w:firstLineChars="100"/>
              <w:rPr>
                <w:rFonts w:hint="eastAsia" w:ascii="宋体" w:eastAsia="宋体" w:cs="宋体"/>
                <w:sz w:val="24"/>
                <w:szCs w:val="24"/>
                <w:highlight w:val="none"/>
              </w:rPr>
            </w:pPr>
            <w:r>
              <w:rPr>
                <w:rStyle w:val="116"/>
                <w:rFonts w:hint="eastAsia" w:ascii="宋体" w:eastAsia="宋体" w:cs="宋体"/>
                <w:sz w:val="24"/>
                <w:highlight w:val="none"/>
              </w:rPr>
              <w:t>根据</w:t>
            </w:r>
            <w:r>
              <w:rPr>
                <w:rFonts w:hint="eastAsia" w:ascii="宋体" w:eastAsia="宋体" w:cs="宋体"/>
                <w:sz w:val="24"/>
                <w:szCs w:val="24"/>
                <w:highlight w:val="none"/>
              </w:rPr>
              <w:t>工艺及设备先进性</w:t>
            </w:r>
            <w:r>
              <w:rPr>
                <w:rStyle w:val="116"/>
                <w:rFonts w:hint="eastAsia" w:ascii="宋体" w:eastAsia="宋体" w:cs="宋体"/>
                <w:sz w:val="24"/>
                <w:highlight w:val="none"/>
              </w:rPr>
              <w:t>，酌情打分。</w:t>
            </w:r>
          </w:p>
        </w:tc>
        <w:tc>
          <w:tcPr>
            <w:tcW w:w="960" w:type="dxa"/>
            <w:tcBorders>
              <w:top w:val="single" w:color="auto" w:sz="4" w:space="0"/>
              <w:left w:val="single" w:color="auto" w:sz="4" w:space="0"/>
              <w:bottom w:val="single" w:color="auto" w:sz="4" w:space="0"/>
              <w:right w:val="single" w:color="auto" w:sz="4" w:space="0"/>
            </w:tcBorders>
            <w:vAlign w:val="center"/>
          </w:tcPr>
          <w:p w14:paraId="6B630E6D">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49AE8628">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15%</w:t>
            </w:r>
          </w:p>
        </w:tc>
      </w:tr>
      <w:tr w14:paraId="634A3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493AAEB7">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人员配备</w:t>
            </w:r>
          </w:p>
        </w:tc>
        <w:tc>
          <w:tcPr>
            <w:tcW w:w="7427" w:type="dxa"/>
            <w:tcBorders>
              <w:top w:val="single" w:color="auto" w:sz="4" w:space="0"/>
              <w:left w:val="single" w:color="auto" w:sz="4" w:space="0"/>
              <w:bottom w:val="single" w:color="auto" w:sz="4" w:space="0"/>
              <w:right w:val="single" w:color="auto" w:sz="4" w:space="0"/>
            </w:tcBorders>
            <w:vAlign w:val="center"/>
          </w:tcPr>
          <w:p w14:paraId="290E21DA">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人员配备</w:t>
            </w:r>
            <w:r>
              <w:rPr>
                <w:rFonts w:hint="eastAsia" w:cs="宋体"/>
                <w:sz w:val="24"/>
                <w:szCs w:val="24"/>
                <w:highlight w:val="none"/>
                <w:lang w:eastAsia="zh-CN"/>
              </w:rPr>
              <w:t>：</w:t>
            </w:r>
            <w:r>
              <w:rPr>
                <w:rFonts w:hint="eastAsia" w:ascii="宋体" w:eastAsia="宋体" w:cs="宋体"/>
                <w:sz w:val="24"/>
                <w:szCs w:val="24"/>
                <w:highlight w:val="none"/>
              </w:rPr>
              <w:t>主要管理人员、作业人员配备及资源配备计划安排详尽、合理的得</w:t>
            </w:r>
            <w:r>
              <w:rPr>
                <w:rFonts w:hint="eastAsia" w:cs="宋体"/>
                <w:sz w:val="24"/>
                <w:szCs w:val="24"/>
                <w:highlight w:val="none"/>
                <w:lang w:val="en-US" w:eastAsia="zh-CN"/>
              </w:rPr>
              <w:t>60（含）</w:t>
            </w:r>
            <w:r>
              <w:rPr>
                <w:rFonts w:hint="eastAsia" w:ascii="宋体" w:eastAsia="宋体" w:cs="宋体"/>
                <w:sz w:val="24"/>
                <w:szCs w:val="24"/>
                <w:highlight w:val="none"/>
              </w:rPr>
              <w:t>-</w:t>
            </w:r>
            <w:r>
              <w:rPr>
                <w:rFonts w:hint="eastAsia" w:cs="宋体"/>
                <w:sz w:val="24"/>
                <w:szCs w:val="24"/>
                <w:highlight w:val="none"/>
                <w:lang w:val="en-US" w:eastAsia="zh-CN"/>
              </w:rPr>
              <w:t>100</w:t>
            </w:r>
            <w:r>
              <w:rPr>
                <w:rFonts w:hint="eastAsia" w:ascii="宋体" w:eastAsia="宋体" w:cs="宋体"/>
                <w:sz w:val="24"/>
                <w:szCs w:val="24"/>
                <w:highlight w:val="none"/>
              </w:rPr>
              <w:t>分；主要管理人员、作业人员配备及资源配备计划安排一般的得</w:t>
            </w:r>
            <w:r>
              <w:rPr>
                <w:rFonts w:hint="eastAsia" w:cs="宋体"/>
                <w:sz w:val="24"/>
                <w:szCs w:val="24"/>
                <w:highlight w:val="none"/>
                <w:lang w:val="en-US" w:eastAsia="zh-CN"/>
              </w:rPr>
              <w:t>10（含）</w:t>
            </w:r>
            <w:r>
              <w:rPr>
                <w:rFonts w:hint="eastAsia" w:ascii="宋体" w:eastAsia="宋体" w:cs="宋体"/>
                <w:sz w:val="24"/>
                <w:szCs w:val="24"/>
                <w:highlight w:val="none"/>
              </w:rPr>
              <w:t>-</w:t>
            </w:r>
            <w:r>
              <w:rPr>
                <w:rFonts w:hint="eastAsia" w:cs="宋体"/>
                <w:sz w:val="24"/>
                <w:szCs w:val="24"/>
                <w:highlight w:val="none"/>
                <w:lang w:val="en-US" w:eastAsia="zh-CN"/>
              </w:rPr>
              <w:t>60</w:t>
            </w:r>
            <w:r>
              <w:rPr>
                <w:rFonts w:hint="eastAsia" w:ascii="宋体" w:eastAsia="宋体" w:cs="宋体"/>
                <w:sz w:val="24"/>
                <w:szCs w:val="24"/>
                <w:highlight w:val="none"/>
              </w:rPr>
              <w:t>分；主要管理人员、作业人员配备及资源配备计划安排有欠佳得0</w:t>
            </w:r>
            <w:r>
              <w:rPr>
                <w:rFonts w:hint="eastAsia" w:cs="宋体"/>
                <w:sz w:val="24"/>
                <w:szCs w:val="24"/>
                <w:highlight w:val="none"/>
                <w:lang w:val="en-US" w:eastAsia="zh-CN"/>
              </w:rPr>
              <w:t>-10</w:t>
            </w:r>
            <w:r>
              <w:rPr>
                <w:rFonts w:hint="eastAsia" w:ascii="宋体" w:eastAsia="宋体" w:cs="宋体"/>
                <w:sz w:val="24"/>
                <w:szCs w:val="24"/>
                <w:highlight w:val="none"/>
              </w:rPr>
              <w:t>分。</w:t>
            </w:r>
          </w:p>
        </w:tc>
        <w:tc>
          <w:tcPr>
            <w:tcW w:w="960" w:type="dxa"/>
            <w:tcBorders>
              <w:top w:val="single" w:color="auto" w:sz="4" w:space="0"/>
              <w:left w:val="single" w:color="auto" w:sz="4" w:space="0"/>
              <w:bottom w:val="single" w:color="auto" w:sz="4" w:space="0"/>
              <w:right w:val="single" w:color="auto" w:sz="4" w:space="0"/>
            </w:tcBorders>
            <w:vAlign w:val="center"/>
          </w:tcPr>
          <w:p w14:paraId="0AF19E01">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1381CB4D">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5%</w:t>
            </w:r>
          </w:p>
        </w:tc>
      </w:tr>
      <w:tr w14:paraId="1838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090092A6">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应急处置预案</w:t>
            </w:r>
          </w:p>
        </w:tc>
        <w:tc>
          <w:tcPr>
            <w:tcW w:w="7427" w:type="dxa"/>
            <w:tcBorders>
              <w:top w:val="single" w:color="auto" w:sz="4" w:space="0"/>
              <w:left w:val="single" w:color="auto" w:sz="4" w:space="0"/>
              <w:bottom w:val="single" w:color="auto" w:sz="4" w:space="0"/>
              <w:right w:val="single" w:color="auto" w:sz="4" w:space="0"/>
            </w:tcBorders>
            <w:vAlign w:val="center"/>
          </w:tcPr>
          <w:p w14:paraId="62825940">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应急处置预案</w:t>
            </w:r>
            <w:r>
              <w:rPr>
                <w:rFonts w:hint="eastAsia" w:cs="宋体"/>
                <w:sz w:val="24"/>
                <w:szCs w:val="24"/>
                <w:highlight w:val="none"/>
                <w:lang w:eastAsia="zh-CN"/>
              </w:rPr>
              <w:t>：</w:t>
            </w:r>
            <w:r>
              <w:rPr>
                <w:rFonts w:hint="eastAsia" w:ascii="宋体" w:eastAsia="宋体" w:cs="宋体"/>
                <w:sz w:val="24"/>
                <w:szCs w:val="24"/>
                <w:highlight w:val="none"/>
              </w:rPr>
              <w:t>本项目应急处置预案内容完整合理科学有效的，得</w:t>
            </w:r>
            <w:r>
              <w:rPr>
                <w:rFonts w:hint="eastAsia" w:cs="宋体"/>
                <w:sz w:val="24"/>
                <w:szCs w:val="24"/>
                <w:highlight w:val="none"/>
                <w:lang w:val="en-US" w:eastAsia="zh-CN"/>
              </w:rPr>
              <w:t>70</w:t>
            </w:r>
            <w:r>
              <w:rPr>
                <w:rFonts w:hint="eastAsia" w:ascii="宋体" w:eastAsia="宋体" w:cs="宋体"/>
                <w:sz w:val="24"/>
                <w:szCs w:val="24"/>
                <w:highlight w:val="none"/>
              </w:rPr>
              <w:t>（含）-1</w:t>
            </w:r>
            <w:r>
              <w:rPr>
                <w:rFonts w:hint="eastAsia" w:cs="宋体"/>
                <w:sz w:val="24"/>
                <w:szCs w:val="24"/>
                <w:highlight w:val="none"/>
                <w:lang w:val="en-US" w:eastAsia="zh-CN"/>
              </w:rPr>
              <w:t>00</w:t>
            </w:r>
            <w:r>
              <w:rPr>
                <w:rFonts w:hint="eastAsia" w:ascii="宋体" w:eastAsia="宋体" w:cs="宋体"/>
                <w:sz w:val="24"/>
                <w:szCs w:val="24"/>
                <w:highlight w:val="none"/>
              </w:rPr>
              <w:t>分；应急处置预案全面的，得</w:t>
            </w:r>
            <w:r>
              <w:rPr>
                <w:rFonts w:hint="eastAsia" w:cs="宋体"/>
                <w:sz w:val="24"/>
                <w:szCs w:val="24"/>
                <w:highlight w:val="none"/>
                <w:lang w:val="en-US" w:eastAsia="zh-CN"/>
              </w:rPr>
              <w:t>30</w:t>
            </w:r>
            <w:r>
              <w:rPr>
                <w:rFonts w:hint="eastAsia" w:ascii="宋体" w:eastAsia="宋体" w:cs="宋体"/>
                <w:sz w:val="24"/>
                <w:szCs w:val="24"/>
                <w:highlight w:val="none"/>
              </w:rPr>
              <w:t>（含）-</w:t>
            </w:r>
            <w:r>
              <w:rPr>
                <w:rFonts w:hint="eastAsia" w:cs="宋体"/>
                <w:sz w:val="24"/>
                <w:szCs w:val="24"/>
                <w:highlight w:val="none"/>
                <w:lang w:val="en-US" w:eastAsia="zh-CN"/>
              </w:rPr>
              <w:t>70</w:t>
            </w:r>
            <w:r>
              <w:rPr>
                <w:rFonts w:hint="eastAsia" w:ascii="宋体" w:eastAsia="宋体" w:cs="宋体"/>
                <w:sz w:val="24"/>
                <w:szCs w:val="24"/>
                <w:highlight w:val="none"/>
              </w:rPr>
              <w:t>分；应急处置预案欠佳的，得</w:t>
            </w:r>
            <w:r>
              <w:rPr>
                <w:rFonts w:hint="eastAsia" w:cs="宋体"/>
                <w:sz w:val="24"/>
                <w:szCs w:val="24"/>
                <w:highlight w:val="none"/>
                <w:lang w:val="en-US" w:eastAsia="zh-CN"/>
              </w:rPr>
              <w:t>10</w:t>
            </w:r>
            <w:r>
              <w:rPr>
                <w:rFonts w:hint="eastAsia" w:ascii="宋体" w:eastAsia="宋体" w:cs="宋体"/>
                <w:sz w:val="24"/>
                <w:szCs w:val="24"/>
                <w:highlight w:val="none"/>
              </w:rPr>
              <w:t>（含）-</w:t>
            </w:r>
            <w:r>
              <w:rPr>
                <w:rFonts w:hint="eastAsia" w:cs="宋体"/>
                <w:sz w:val="24"/>
                <w:szCs w:val="24"/>
                <w:highlight w:val="none"/>
                <w:lang w:val="en-US" w:eastAsia="zh-CN"/>
              </w:rPr>
              <w:t>30</w:t>
            </w:r>
            <w:r>
              <w:rPr>
                <w:rFonts w:hint="eastAsia" w:ascii="宋体" w:eastAsia="宋体" w:cs="宋体"/>
                <w:sz w:val="24"/>
                <w:szCs w:val="24"/>
                <w:highlight w:val="none"/>
              </w:rPr>
              <w:t>分；应急安全方案存在明显缺陷的，不得分。（需提供经环保局备案确认表，否则不得分）</w:t>
            </w:r>
          </w:p>
        </w:tc>
        <w:tc>
          <w:tcPr>
            <w:tcW w:w="960" w:type="dxa"/>
            <w:tcBorders>
              <w:top w:val="single" w:color="auto" w:sz="4" w:space="0"/>
              <w:left w:val="single" w:color="auto" w:sz="4" w:space="0"/>
              <w:bottom w:val="single" w:color="auto" w:sz="4" w:space="0"/>
              <w:right w:val="single" w:color="auto" w:sz="4" w:space="0"/>
            </w:tcBorders>
            <w:vAlign w:val="center"/>
          </w:tcPr>
          <w:p w14:paraId="465C3719">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3C5616BB">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15%</w:t>
            </w:r>
          </w:p>
        </w:tc>
      </w:tr>
      <w:tr w14:paraId="6239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dxa"/>
            <w:tcBorders>
              <w:top w:val="single" w:color="auto" w:sz="4" w:space="0"/>
              <w:left w:val="single" w:color="auto" w:sz="4" w:space="0"/>
              <w:bottom w:val="single" w:color="auto" w:sz="4" w:space="0"/>
              <w:right w:val="single" w:color="auto" w:sz="4" w:space="0"/>
            </w:tcBorders>
            <w:vAlign w:val="center"/>
          </w:tcPr>
          <w:p w14:paraId="70C6614D">
            <w:pPr>
              <w:pStyle w:val="2"/>
              <w:spacing w:line="240" w:lineRule="auto"/>
              <w:ind w:firstLine="0" w:firstLineChars="0"/>
              <w:jc w:val="center"/>
              <w:rPr>
                <w:rFonts w:hint="eastAsia" w:ascii="宋体" w:eastAsia="宋体" w:cs="宋体"/>
                <w:sz w:val="24"/>
                <w:szCs w:val="24"/>
                <w:highlight w:val="none"/>
              </w:rPr>
            </w:pPr>
            <w:r>
              <w:rPr>
                <w:rFonts w:hint="eastAsia" w:ascii="宋体" w:eastAsia="宋体" w:cs="宋体"/>
                <w:sz w:val="24"/>
                <w:szCs w:val="24"/>
                <w:highlight w:val="none"/>
              </w:rPr>
              <w:t>服务响应能力</w:t>
            </w:r>
          </w:p>
        </w:tc>
        <w:tc>
          <w:tcPr>
            <w:tcW w:w="7427" w:type="dxa"/>
            <w:tcBorders>
              <w:top w:val="single" w:color="auto" w:sz="4" w:space="0"/>
              <w:left w:val="single" w:color="auto" w:sz="4" w:space="0"/>
              <w:bottom w:val="single" w:color="auto" w:sz="4" w:space="0"/>
              <w:right w:val="single" w:color="auto" w:sz="4" w:space="0"/>
            </w:tcBorders>
            <w:vAlign w:val="center"/>
          </w:tcPr>
          <w:p w14:paraId="30DF9E6F">
            <w:pPr>
              <w:pStyle w:val="2"/>
              <w:spacing w:line="240" w:lineRule="auto"/>
              <w:ind w:firstLine="264" w:firstLineChars="100"/>
              <w:rPr>
                <w:rFonts w:hint="eastAsia" w:ascii="宋体" w:eastAsia="宋体" w:cs="宋体"/>
                <w:sz w:val="24"/>
                <w:szCs w:val="24"/>
                <w:highlight w:val="none"/>
              </w:rPr>
            </w:pPr>
            <w:r>
              <w:rPr>
                <w:rFonts w:hint="eastAsia" w:ascii="宋体" w:eastAsia="宋体" w:cs="宋体"/>
                <w:sz w:val="24"/>
                <w:szCs w:val="24"/>
                <w:highlight w:val="none"/>
              </w:rPr>
              <w:t>服务响应能力，承诺自接到处置电话，省内投标单位48小时（含）以内得</w:t>
            </w:r>
            <w:r>
              <w:rPr>
                <w:rFonts w:hint="eastAsia" w:cs="宋体"/>
                <w:sz w:val="24"/>
                <w:szCs w:val="24"/>
                <w:highlight w:val="none"/>
                <w:lang w:val="en-US" w:eastAsia="zh-CN"/>
              </w:rPr>
              <w:t>100</w:t>
            </w:r>
            <w:r>
              <w:rPr>
                <w:rFonts w:hint="eastAsia" w:ascii="宋体" w:eastAsia="宋体" w:cs="宋体"/>
                <w:sz w:val="24"/>
                <w:szCs w:val="24"/>
                <w:highlight w:val="none"/>
              </w:rPr>
              <w:t>分，省外投标单位7天（含）以内得</w:t>
            </w:r>
            <w:r>
              <w:rPr>
                <w:rFonts w:hint="eastAsia" w:cs="宋体"/>
                <w:sz w:val="24"/>
                <w:szCs w:val="24"/>
                <w:highlight w:val="none"/>
                <w:lang w:val="en-US" w:eastAsia="zh-CN"/>
              </w:rPr>
              <w:t>100</w:t>
            </w:r>
            <w:r>
              <w:rPr>
                <w:rFonts w:hint="eastAsia" w:ascii="宋体" w:eastAsia="宋体" w:cs="宋体"/>
                <w:sz w:val="24"/>
                <w:szCs w:val="24"/>
                <w:highlight w:val="none"/>
              </w:rPr>
              <w:t>分。如违反当初承诺的每次扣500元。最高</w:t>
            </w:r>
            <w:r>
              <w:rPr>
                <w:rFonts w:hint="eastAsia" w:cs="宋体"/>
                <w:sz w:val="24"/>
                <w:szCs w:val="24"/>
                <w:highlight w:val="none"/>
                <w:lang w:val="en-US" w:eastAsia="zh-CN"/>
              </w:rPr>
              <w:t>100</w:t>
            </w:r>
            <w:r>
              <w:rPr>
                <w:rFonts w:hint="eastAsia" w:ascii="宋体" w:eastAsia="宋体" w:cs="宋体"/>
                <w:sz w:val="24"/>
                <w:szCs w:val="24"/>
                <w:highlight w:val="none"/>
              </w:rPr>
              <w:t>分。无承诺不得分。</w:t>
            </w:r>
          </w:p>
        </w:tc>
        <w:tc>
          <w:tcPr>
            <w:tcW w:w="960" w:type="dxa"/>
            <w:tcBorders>
              <w:top w:val="single" w:color="auto" w:sz="4" w:space="0"/>
              <w:left w:val="single" w:color="auto" w:sz="4" w:space="0"/>
              <w:bottom w:val="single" w:color="auto" w:sz="4" w:space="0"/>
              <w:right w:val="single" w:color="auto" w:sz="4" w:space="0"/>
            </w:tcBorders>
            <w:vAlign w:val="center"/>
          </w:tcPr>
          <w:p w14:paraId="364E2242">
            <w:pPr>
              <w:spacing w:line="240" w:lineRule="auto"/>
              <w:ind w:firstLine="0"/>
              <w:jc w:val="center"/>
              <w:rPr>
                <w:rFonts w:hint="eastAsia" w:ascii="宋体" w:eastAsia="宋体" w:cs="宋体"/>
                <w:sz w:val="24"/>
                <w:szCs w:val="24"/>
                <w:highlight w:val="none"/>
              </w:rPr>
            </w:pPr>
            <w:r>
              <w:rPr>
                <w:rFonts w:hint="eastAsia" w:ascii="Times New Roman" w:hAnsi="Times New Roman" w:eastAsia="宋体" w:cs="Times New Roman"/>
                <w:b w:val="0"/>
                <w:bCs w:val="0"/>
                <w:kern w:val="2"/>
                <w:sz w:val="21"/>
                <w:szCs w:val="21"/>
                <w:highlight w:val="none"/>
                <w:lang w:val="en-US" w:eastAsia="zh-CN" w:bidi="ar-SA"/>
              </w:rPr>
              <w:t>0-100分</w:t>
            </w:r>
          </w:p>
        </w:tc>
        <w:tc>
          <w:tcPr>
            <w:tcW w:w="886" w:type="dxa"/>
            <w:tcBorders>
              <w:top w:val="single" w:color="auto" w:sz="4" w:space="0"/>
              <w:left w:val="single" w:color="auto" w:sz="4" w:space="0"/>
              <w:bottom w:val="single" w:color="auto" w:sz="4" w:space="0"/>
              <w:right w:val="single" w:color="auto" w:sz="4" w:space="0"/>
            </w:tcBorders>
            <w:vAlign w:val="center"/>
          </w:tcPr>
          <w:p w14:paraId="6815030F">
            <w:pPr>
              <w:pStyle w:val="2"/>
              <w:spacing w:line="240" w:lineRule="auto"/>
              <w:ind w:firstLine="0" w:firstLineChars="0"/>
              <w:jc w:val="center"/>
              <w:rPr>
                <w:rFonts w:ascii="宋体" w:eastAsia="宋体" w:cs="宋体"/>
                <w:sz w:val="24"/>
                <w:szCs w:val="24"/>
                <w:highlight w:val="none"/>
                <w:lang w:val="en-US" w:eastAsia="zh-CN"/>
              </w:rPr>
            </w:pPr>
            <w:r>
              <w:rPr>
                <w:rFonts w:hint="eastAsia" w:cs="宋体"/>
                <w:sz w:val="24"/>
                <w:szCs w:val="24"/>
                <w:highlight w:val="none"/>
                <w:lang w:val="en-US" w:eastAsia="zh-CN"/>
              </w:rPr>
              <w:t>5%</w:t>
            </w:r>
          </w:p>
        </w:tc>
      </w:tr>
    </w:tbl>
    <w:p w14:paraId="600E9674">
      <w:pPr>
        <w:pStyle w:val="109"/>
        <w:spacing w:line="440" w:lineRule="exact"/>
        <w:ind w:firstLine="241" w:firstLineChars="100"/>
        <w:rPr>
          <w:rFonts w:hint="eastAsia" w:ascii="宋体" w:eastAsia="宋体" w:cs="宋体"/>
          <w:b/>
          <w:highlight w:val="none"/>
        </w:rPr>
      </w:pPr>
      <w:r>
        <w:rPr>
          <w:rFonts w:hint="eastAsia" w:ascii="宋体" w:eastAsia="宋体" w:cs="宋体"/>
          <w:b/>
          <w:bCs/>
          <w:highlight w:val="none"/>
        </w:rPr>
        <w:t>投标方的得分为全体评委打分的算术平均值。</w:t>
      </w:r>
    </w:p>
    <w:p w14:paraId="468D5A1F">
      <w:pPr>
        <w:pStyle w:val="109"/>
        <w:spacing w:line="440" w:lineRule="exact"/>
        <w:ind w:firstLine="482" w:firstLineChars="200"/>
        <w:rPr>
          <w:rFonts w:hint="eastAsia" w:ascii="宋体" w:eastAsia="宋体" w:cs="宋体"/>
          <w:b/>
          <w:highlight w:val="none"/>
        </w:rPr>
      </w:pPr>
      <w:r>
        <w:rPr>
          <w:rFonts w:hint="eastAsia" w:ascii="宋体" w:eastAsia="宋体" w:cs="宋体"/>
          <w:b/>
          <w:highlight w:val="none"/>
          <w:lang w:val="en-US" w:eastAsia="zh-CN"/>
        </w:rPr>
        <w:t>2、商务经济文件</w:t>
      </w:r>
      <w:r>
        <w:rPr>
          <w:rFonts w:hint="eastAsia" w:ascii="宋体" w:eastAsia="宋体" w:cs="宋体"/>
          <w:b/>
          <w:highlight w:val="none"/>
        </w:rPr>
        <w:t>得分（</w:t>
      </w:r>
      <w:r>
        <w:rPr>
          <w:rFonts w:hint="eastAsia" w:ascii="宋体" w:eastAsia="宋体" w:cs="宋体"/>
          <w:b/>
          <w:highlight w:val="none"/>
          <w:lang w:val="en-US" w:eastAsia="zh-CN"/>
        </w:rPr>
        <w:t>满分100分，</w:t>
      </w:r>
      <w:r>
        <w:rPr>
          <w:rFonts w:hint="eastAsia" w:ascii="宋体" w:eastAsia="宋体" w:cs="宋体"/>
          <w:b/>
          <w:highlight w:val="none"/>
        </w:rPr>
        <w:t>占总分权重的1%）</w:t>
      </w:r>
    </w:p>
    <w:p w14:paraId="407A0E14">
      <w:pPr>
        <w:pStyle w:val="109"/>
        <w:spacing w:line="440" w:lineRule="exact"/>
        <w:ind w:firstLine="482" w:firstLineChars="200"/>
        <w:rPr>
          <w:rFonts w:hint="eastAsia" w:ascii="宋体" w:eastAsia="宋体" w:cs="宋体"/>
          <w:b/>
          <w:highlight w:val="none"/>
        </w:rPr>
      </w:pPr>
      <w:r>
        <w:rPr>
          <w:rFonts w:hint="eastAsia" w:ascii="宋体" w:eastAsia="宋体" w:cs="宋体"/>
          <w:b/>
          <w:highlight w:val="none"/>
          <w:lang w:val="en-US" w:eastAsia="zh-CN"/>
        </w:rPr>
        <w:t>因</w:t>
      </w:r>
      <w:r>
        <w:rPr>
          <w:rFonts w:hint="eastAsia" w:ascii="宋体" w:eastAsia="宋体" w:cs="宋体"/>
          <w:b/>
          <w:highlight w:val="none"/>
        </w:rPr>
        <w:t>本项目</w:t>
      </w:r>
      <w:r>
        <w:rPr>
          <w:rFonts w:hint="eastAsia" w:ascii="宋体" w:eastAsia="宋体" w:cs="宋体"/>
          <w:b/>
          <w:highlight w:val="none"/>
          <w:lang w:val="en-US" w:eastAsia="zh-CN"/>
        </w:rPr>
        <w:t>为入围项目，</w:t>
      </w:r>
      <w:r>
        <w:rPr>
          <w:rFonts w:hint="eastAsia" w:ascii="宋体" w:eastAsia="宋体" w:cs="宋体"/>
          <w:b/>
          <w:highlight w:val="none"/>
        </w:rPr>
        <w:t>未设置</w:t>
      </w:r>
      <w:r>
        <w:rPr>
          <w:rFonts w:hint="eastAsia" w:ascii="宋体" w:eastAsia="宋体" w:cs="宋体"/>
          <w:b/>
          <w:highlight w:val="none"/>
          <w:lang w:val="en-US" w:eastAsia="zh-CN"/>
        </w:rPr>
        <w:t>商务</w:t>
      </w:r>
      <w:r>
        <w:rPr>
          <w:rFonts w:hint="eastAsia" w:ascii="宋体" w:eastAsia="宋体" w:cs="宋体"/>
          <w:b/>
          <w:highlight w:val="none"/>
        </w:rPr>
        <w:t>分打分项，系统默认</w:t>
      </w:r>
      <w:r>
        <w:rPr>
          <w:rFonts w:hint="eastAsia" w:ascii="宋体" w:eastAsia="宋体" w:cs="宋体"/>
          <w:b/>
          <w:highlight w:val="none"/>
          <w:lang w:val="en-US" w:eastAsia="zh-CN"/>
        </w:rPr>
        <w:t>填写报价4752万元，即商务经济得分</w:t>
      </w:r>
      <w:r>
        <w:rPr>
          <w:rFonts w:hint="eastAsia" w:ascii="宋体" w:eastAsia="宋体" w:cs="宋体"/>
          <w:b/>
          <w:highlight w:val="none"/>
        </w:rPr>
        <w:t>100分；</w:t>
      </w:r>
    </w:p>
    <w:p w14:paraId="05751CFC">
      <w:pPr>
        <w:snapToGrid w:val="0"/>
        <w:spacing w:line="360" w:lineRule="auto"/>
        <w:ind w:left="426"/>
        <w:jc w:val="left"/>
        <w:outlineLvl w:val="1"/>
        <w:rPr>
          <w:rFonts w:ascii="宋体"/>
          <w:b/>
          <w:sz w:val="24"/>
          <w:szCs w:val="24"/>
        </w:rPr>
      </w:pPr>
      <w:r>
        <w:rPr>
          <w:rFonts w:hint="eastAsia" w:ascii="宋体"/>
          <w:b/>
          <w:sz w:val="24"/>
          <w:szCs w:val="24"/>
          <w:lang w:val="en-US" w:eastAsia="zh-CN"/>
        </w:rPr>
        <w:t>五</w:t>
      </w:r>
      <w:r>
        <w:rPr>
          <w:rFonts w:hint="eastAsia" w:ascii="宋体"/>
          <w:b/>
          <w:sz w:val="24"/>
          <w:szCs w:val="24"/>
        </w:rPr>
        <w:t>、 投标文件的澄清和补正</w:t>
      </w:r>
    </w:p>
    <w:p w14:paraId="14B8919D">
      <w:pPr>
        <w:spacing w:line="360" w:lineRule="auto"/>
        <w:ind w:firstLine="480" w:firstLineChars="200"/>
        <w:rPr>
          <w:rFonts w:ascii="宋体" w:cs="宋体"/>
          <w:sz w:val="24"/>
          <w:szCs w:val="24"/>
        </w:rPr>
      </w:pPr>
      <w:r>
        <w:rPr>
          <w:rFonts w:hint="eastAsia" w:ascii="宋体" w:cs="宋体"/>
          <w:sz w:val="24"/>
          <w:szCs w:val="24"/>
        </w:rPr>
        <w:t>1、在评标过程中，评标委员会可以书面形式要求投标人对所提交的投标文件中不明确的内容进行书面澄清或说明，或者对细微偏差进行补正。评标委员会不接受投标人主动提出的澄清、说明或补正。</w:t>
      </w:r>
    </w:p>
    <w:p w14:paraId="5350C33B">
      <w:pPr>
        <w:spacing w:line="360" w:lineRule="auto"/>
        <w:ind w:firstLine="480" w:firstLineChars="200"/>
        <w:rPr>
          <w:rFonts w:ascii="宋体" w:cs="宋体"/>
          <w:sz w:val="24"/>
          <w:szCs w:val="24"/>
        </w:rPr>
      </w:pPr>
      <w:r>
        <w:rPr>
          <w:rFonts w:hint="eastAsia" w:ascii="宋体" w:cs="宋体"/>
          <w:sz w:val="24"/>
          <w:szCs w:val="24"/>
        </w:rPr>
        <w:t>2、澄清、说明和补正不得改变投标文件的实质性内容（算术性错误修正的除外）。投标人的书面澄清、说明和补正属于投标文件的组成部分。</w:t>
      </w:r>
    </w:p>
    <w:p w14:paraId="3ACDCD2C">
      <w:pPr>
        <w:spacing w:line="360" w:lineRule="auto"/>
        <w:ind w:firstLine="480" w:firstLineChars="200"/>
        <w:rPr>
          <w:rFonts w:ascii="宋体" w:cs="宋体"/>
          <w:sz w:val="24"/>
          <w:szCs w:val="24"/>
        </w:rPr>
      </w:pPr>
      <w:r>
        <w:rPr>
          <w:rFonts w:hint="eastAsia" w:ascii="宋体" w:cs="宋体"/>
          <w:sz w:val="24"/>
          <w:szCs w:val="24"/>
        </w:rPr>
        <w:t>3、 评标委员会对投标人提交的澄清、说明或补正有疑问的，可以要求投标人进一步澄清、说明或补正，直至满足评标委员会的要求。</w:t>
      </w:r>
    </w:p>
    <w:p w14:paraId="52B0E53F">
      <w:pPr>
        <w:snapToGrid w:val="0"/>
        <w:spacing w:line="360" w:lineRule="auto"/>
        <w:ind w:left="426"/>
        <w:jc w:val="left"/>
        <w:outlineLvl w:val="1"/>
        <w:rPr>
          <w:rFonts w:ascii="宋体"/>
          <w:b/>
          <w:sz w:val="24"/>
          <w:szCs w:val="24"/>
        </w:rPr>
      </w:pPr>
      <w:r>
        <w:rPr>
          <w:rFonts w:hint="eastAsia" w:ascii="宋体"/>
          <w:b/>
          <w:sz w:val="24"/>
          <w:szCs w:val="24"/>
          <w:lang w:val="en-US" w:eastAsia="zh-CN"/>
        </w:rPr>
        <w:t>六</w:t>
      </w:r>
      <w:r>
        <w:rPr>
          <w:rFonts w:hint="eastAsia" w:ascii="宋体"/>
          <w:b/>
          <w:sz w:val="24"/>
          <w:szCs w:val="24"/>
        </w:rPr>
        <w:t>、 评标结果</w:t>
      </w:r>
    </w:p>
    <w:p w14:paraId="7A54D823">
      <w:pPr>
        <w:snapToGrid w:val="0"/>
        <w:spacing w:line="440" w:lineRule="exact"/>
        <w:ind w:firstLine="369" w:firstLineChars="176"/>
        <w:rPr>
          <w:rFonts w:hint="eastAsia" w:ascii="宋体" w:eastAsia="宋体" w:cs="宋体"/>
          <w:sz w:val="24"/>
          <w:highlight w:val="none"/>
        </w:rPr>
      </w:pPr>
      <w:r>
        <w:rPr>
          <w:rFonts w:hint="eastAsia" w:ascii="宋体" w:cs="宋体"/>
          <w:b w:val="0"/>
          <w:bCs/>
          <w:highlight w:val="none"/>
          <w:lang w:val="en-US" w:eastAsia="zh-CN"/>
        </w:rPr>
        <w:t>1、</w:t>
      </w:r>
      <w:r>
        <w:rPr>
          <w:rFonts w:hint="eastAsia" w:ascii="宋体" w:eastAsia="宋体" w:cs="宋体"/>
          <w:b w:val="0"/>
          <w:bCs/>
          <w:sz w:val="24"/>
          <w:highlight w:val="none"/>
        </w:rPr>
        <w:t>评</w:t>
      </w:r>
      <w:r>
        <w:rPr>
          <w:rFonts w:hint="eastAsia" w:ascii="宋体" w:eastAsia="宋体" w:cs="宋体"/>
          <w:sz w:val="24"/>
          <w:highlight w:val="none"/>
        </w:rPr>
        <w:t>标委员会完成评标后，应当向招标人提交书面评标报告。</w:t>
      </w:r>
    </w:p>
    <w:p w14:paraId="5D09CA41">
      <w:pPr>
        <w:snapToGrid w:val="0"/>
        <w:spacing w:line="420" w:lineRule="exact"/>
        <w:ind w:firstLine="422" w:firstLineChars="176"/>
        <w:rPr>
          <w:rFonts w:hint="eastAsia" w:ascii="宋体" w:eastAsia="宋体" w:cs="宋体"/>
          <w:sz w:val="24"/>
          <w:highlight w:val="none"/>
        </w:rPr>
      </w:pPr>
      <w:r>
        <w:rPr>
          <w:rFonts w:hint="eastAsia" w:ascii="宋体" w:cs="宋体"/>
          <w:sz w:val="24"/>
          <w:highlight w:val="none"/>
          <w:lang w:val="en-US" w:eastAsia="zh-CN"/>
        </w:rPr>
        <w:t>2、</w:t>
      </w:r>
      <w:r>
        <w:rPr>
          <w:rFonts w:hint="eastAsia" w:ascii="宋体" w:eastAsia="宋体" w:cs="宋体"/>
          <w:sz w:val="24"/>
          <w:highlight w:val="none"/>
        </w:rPr>
        <w:t>评标定标</w:t>
      </w:r>
    </w:p>
    <w:p w14:paraId="37D20637">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评标委员会根据综合评分结果</w:t>
      </w:r>
    </w:p>
    <w:p w14:paraId="645C0E63">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（1）推荐总分从高到低排序按</w:t>
      </w:r>
      <w:r>
        <w:rPr>
          <w:rFonts w:hint="eastAsia" w:ascii="宋体" w:eastAsia="宋体" w:cs="宋体"/>
          <w:b/>
          <w:sz w:val="24"/>
          <w:highlight w:val="none"/>
        </w:rPr>
        <w:t>符合资格条件的投标单位家数确定入围单位数量</w:t>
      </w:r>
      <w:r>
        <w:rPr>
          <w:rFonts w:hint="eastAsia" w:ascii="宋体" w:eastAsia="宋体" w:cs="宋体"/>
          <w:sz w:val="24"/>
          <w:highlight w:val="none"/>
        </w:rPr>
        <w:t>，投标人总分若出现并列情况的，则现场抽签确定排名。如前有入围单位放弃中标、因不可抗力不能履行合同、不按照招标文件要求提交履约保证金，或者被查实存在影响入围结果的违法行为等情形，不符合入围条件的，按照评标委员会提出的入围候选人名单排序依次确定其他入围候选人为入围中标人。</w:t>
      </w:r>
    </w:p>
    <w:p w14:paraId="4B1E5E7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（2）招标人将对入围单位进行公示。如入围单位</w:t>
      </w:r>
      <w:r>
        <w:rPr>
          <w:rFonts w:hint="eastAsia" w:ascii="宋体" w:eastAsia="宋体" w:cs="宋体"/>
          <w:highlight w:val="none"/>
        </w:rPr>
        <w:t>放弃中标、因不可抗力不能履行合同、不按照招标文件要求提交履约保证金，或者被查实存在影响入围结果的违法行为等情形，不符合</w:t>
      </w:r>
      <w:r>
        <w:rPr>
          <w:rFonts w:hint="eastAsia" w:ascii="宋体" w:eastAsia="宋体" w:cs="宋体"/>
          <w:sz w:val="24"/>
          <w:highlight w:val="none"/>
        </w:rPr>
        <w:t>入围</w:t>
      </w:r>
      <w:r>
        <w:rPr>
          <w:rFonts w:hint="eastAsia" w:ascii="宋体" w:eastAsia="宋体" w:cs="宋体"/>
          <w:highlight w:val="none"/>
        </w:rPr>
        <w:t>条件的</w:t>
      </w:r>
      <w:r>
        <w:rPr>
          <w:rFonts w:hint="eastAsia" w:ascii="宋体" w:eastAsia="宋体" w:cs="宋体"/>
          <w:sz w:val="24"/>
          <w:highlight w:val="none"/>
        </w:rPr>
        <w:t>，招标人可以按照评标委员会提出的入围候选人名单排序依次确定其他入围候选人为入围中标人，如导致最终确定的入围中标人个数不足十家时，则招标人重新组织招标。</w:t>
      </w:r>
    </w:p>
    <w:p w14:paraId="798438AE">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对因弄虚作假或恶意隐瞒被投诉而取消入围资格的入围候选人，提请监管部门将此不良行为记入企业和个人信用档案并予以公示。</w:t>
      </w:r>
    </w:p>
    <w:p w14:paraId="06B23569">
      <w:pPr>
        <w:snapToGrid w:val="0"/>
        <w:spacing w:line="420" w:lineRule="exact"/>
        <w:ind w:firstLine="422" w:firstLineChars="176"/>
        <w:rPr>
          <w:rFonts w:hint="eastAsia" w:ascii="宋体" w:eastAsia="宋体" w:cs="宋体"/>
          <w:sz w:val="24"/>
          <w:highlight w:val="none"/>
        </w:rPr>
      </w:pPr>
      <w:r>
        <w:rPr>
          <w:rFonts w:hint="eastAsia" w:ascii="宋体" w:eastAsia="宋体" w:cs="宋体"/>
          <w:sz w:val="24"/>
          <w:highlight w:val="none"/>
        </w:rPr>
        <w:t xml:space="preserve">入围后放弃入围资格或在项目实施过程中放弃入围资格的，并提请监管部门将此不良行为记入企业和个人信用档案并予以公示。 </w:t>
      </w:r>
    </w:p>
    <w:p w14:paraId="6AE2642A">
      <w:pPr>
        <w:rPr>
          <w:rFonts w:hint="eastAsia" w:ascii="宋体" w:eastAsia="宋体" w:cs="宋体"/>
          <w:highlight w:val="none"/>
        </w:rPr>
        <w:sectPr>
          <w:pgSz w:w="11907" w:h="16840"/>
          <w:pgMar w:top="1304" w:right="1247" w:bottom="1134" w:left="1304" w:header="680" w:footer="964" w:gutter="0"/>
          <w:cols w:space="720" w:num="1"/>
          <w:docGrid w:linePitch="271" w:charSpace="0"/>
        </w:sectPr>
      </w:pPr>
    </w:p>
    <w:p w14:paraId="1AF71622">
      <w:pPr>
        <w:snapToGrid w:val="0"/>
        <w:spacing w:line="400" w:lineRule="exact"/>
        <w:jc w:val="center"/>
        <w:outlineLvl w:val="0"/>
        <w:rPr>
          <w:rFonts w:hint="eastAsia" w:ascii="宋体" w:eastAsia="宋体" w:cs="宋体"/>
          <w:b/>
          <w:bCs/>
          <w:sz w:val="32"/>
          <w:highlight w:val="none"/>
        </w:rPr>
      </w:pPr>
      <w:bookmarkStart w:id="12" w:name="_Toc24380"/>
      <w:r>
        <w:rPr>
          <w:rFonts w:hint="eastAsia" w:ascii="宋体" w:eastAsia="宋体" w:cs="宋体"/>
          <w:b/>
          <w:bCs/>
          <w:sz w:val="32"/>
          <w:highlight w:val="none"/>
        </w:rPr>
        <w:t>第</w:t>
      </w:r>
      <w:r>
        <w:rPr>
          <w:rFonts w:hint="eastAsia" w:ascii="宋体" w:cs="宋体"/>
          <w:b/>
          <w:bCs/>
          <w:sz w:val="32"/>
          <w:highlight w:val="none"/>
          <w:lang w:val="en-US" w:eastAsia="zh-CN"/>
        </w:rPr>
        <w:t>四</w:t>
      </w:r>
      <w:r>
        <w:rPr>
          <w:rFonts w:hint="eastAsia" w:ascii="宋体" w:eastAsia="宋体" w:cs="宋体"/>
          <w:b/>
          <w:bCs/>
          <w:sz w:val="32"/>
          <w:highlight w:val="none"/>
        </w:rPr>
        <w:t>章  合同主要条款</w:t>
      </w:r>
      <w:bookmarkEnd w:id="12"/>
    </w:p>
    <w:p w14:paraId="00AAAED4">
      <w:pPr>
        <w:snapToGrid w:val="0"/>
        <w:spacing w:line="360" w:lineRule="auto"/>
        <w:jc w:val="center"/>
        <w:rPr>
          <w:rFonts w:hint="eastAsia" w:ascii="宋体" w:eastAsia="宋体" w:cs="宋体"/>
          <w:sz w:val="24"/>
          <w:highlight w:val="none"/>
        </w:rPr>
      </w:pPr>
      <w:r>
        <w:rPr>
          <w:rFonts w:hint="eastAsia" w:ascii="宋体" w:eastAsia="宋体" w:cs="宋体"/>
          <w:sz w:val="24"/>
          <w:highlight w:val="none"/>
        </w:rPr>
        <w:t>（最终以双方签字盖章的合同文本为准）</w:t>
      </w:r>
    </w:p>
    <w:p w14:paraId="3A552C3C">
      <w:pPr>
        <w:snapToGrid w:val="0"/>
        <w:spacing w:line="400" w:lineRule="exact"/>
        <w:rPr>
          <w:rFonts w:hint="eastAsia" w:ascii="宋体" w:eastAsia="宋体" w:cs="宋体"/>
          <w:b/>
          <w:bCs/>
          <w:sz w:val="32"/>
          <w:highlight w:val="none"/>
        </w:rPr>
      </w:pPr>
    </w:p>
    <w:p w14:paraId="5FB2F3C2">
      <w:pPr>
        <w:snapToGrid w:val="0"/>
        <w:spacing w:line="400" w:lineRule="exact"/>
        <w:jc w:val="center"/>
        <w:rPr>
          <w:rFonts w:hint="eastAsia" w:ascii="宋体" w:eastAsia="宋体" w:cs="宋体"/>
          <w:b/>
          <w:bCs/>
          <w:sz w:val="32"/>
          <w:highlight w:val="none"/>
        </w:rPr>
      </w:pPr>
    </w:p>
    <w:p w14:paraId="5204C9BF">
      <w:pPr>
        <w:snapToGrid w:val="0"/>
        <w:spacing w:line="400" w:lineRule="exact"/>
        <w:jc w:val="center"/>
        <w:outlineLvl w:val="0"/>
        <w:rPr>
          <w:rFonts w:hint="eastAsia" w:ascii="宋体" w:eastAsia="宋体" w:cs="宋体"/>
          <w:b/>
          <w:bCs/>
          <w:sz w:val="32"/>
          <w:highlight w:val="none"/>
        </w:rPr>
      </w:pPr>
      <w:bookmarkStart w:id="13" w:name="_Toc18143"/>
      <w:r>
        <w:rPr>
          <w:rFonts w:hint="eastAsia" w:ascii="宋体" w:eastAsia="宋体" w:cs="宋体"/>
          <w:b/>
          <w:bCs/>
          <w:sz w:val="32"/>
          <w:highlight w:val="none"/>
        </w:rPr>
        <w:t>第</w:t>
      </w:r>
      <w:r>
        <w:rPr>
          <w:rFonts w:hint="eastAsia" w:ascii="宋体" w:cs="宋体"/>
          <w:b/>
          <w:bCs/>
          <w:sz w:val="32"/>
          <w:highlight w:val="none"/>
          <w:lang w:val="en-US" w:eastAsia="zh-CN"/>
        </w:rPr>
        <w:t>五</w:t>
      </w:r>
      <w:r>
        <w:rPr>
          <w:rFonts w:hint="eastAsia" w:ascii="宋体" w:eastAsia="宋体" w:cs="宋体"/>
          <w:b/>
          <w:bCs/>
          <w:sz w:val="32"/>
          <w:highlight w:val="none"/>
        </w:rPr>
        <w:t>章 投标文件格式</w:t>
      </w:r>
      <w:bookmarkEnd w:id="13"/>
    </w:p>
    <w:p w14:paraId="73FC701F">
      <w:pPr>
        <w:snapToGrid w:val="0"/>
        <w:spacing w:line="500" w:lineRule="exact"/>
        <w:jc w:val="both"/>
        <w:rPr>
          <w:rFonts w:hint="eastAsia" w:ascii="宋体" w:eastAsia="宋体" w:cs="宋体"/>
          <w:sz w:val="44"/>
          <w:szCs w:val="44"/>
          <w:highlight w:val="none"/>
          <w:u w:val="single"/>
        </w:rPr>
      </w:pPr>
    </w:p>
    <w:p w14:paraId="58834B81">
      <w:pPr>
        <w:snapToGrid w:val="0"/>
        <w:spacing w:line="500" w:lineRule="exact"/>
        <w:jc w:val="center"/>
        <w:rPr>
          <w:rFonts w:hint="eastAsia" w:ascii="宋体" w:eastAsia="宋体" w:cs="宋体"/>
          <w:sz w:val="44"/>
          <w:szCs w:val="44"/>
          <w:highlight w:val="none"/>
        </w:rPr>
      </w:pPr>
    </w:p>
    <w:p w14:paraId="7605838C">
      <w:pPr>
        <w:snapToGrid w:val="0"/>
        <w:spacing w:line="500" w:lineRule="exact"/>
        <w:jc w:val="center"/>
        <w:rPr>
          <w:rFonts w:hint="eastAsia" w:ascii="宋体" w:eastAsia="宋体" w:cs="宋体"/>
          <w:sz w:val="44"/>
          <w:szCs w:val="44"/>
          <w:highlight w:val="none"/>
        </w:rPr>
      </w:pPr>
      <w:r>
        <w:rPr>
          <w:rFonts w:hint="eastAsia" w:ascii="宋体" w:cs="宋体"/>
          <w:sz w:val="44"/>
          <w:szCs w:val="44"/>
          <w:highlight w:val="none"/>
          <w:lang w:eastAsia="zh-CN"/>
        </w:rPr>
        <w:t>巨化集团有限公司202</w:t>
      </w:r>
      <w:r>
        <w:rPr>
          <w:rFonts w:ascii="宋体" w:cs="宋体"/>
          <w:sz w:val="44"/>
          <w:szCs w:val="44"/>
          <w:highlight w:val="none"/>
          <w:lang w:eastAsia="zh-CN"/>
        </w:rPr>
        <w:t>5</w:t>
      </w:r>
      <w:r>
        <w:rPr>
          <w:rFonts w:hint="eastAsia" w:ascii="宋体" w:cs="宋体"/>
          <w:sz w:val="44"/>
          <w:szCs w:val="44"/>
          <w:highlight w:val="none"/>
          <w:lang w:eastAsia="zh-CN"/>
        </w:rPr>
        <w:t>年度危险废物处置利用入围服务商</w:t>
      </w:r>
      <w:r>
        <w:rPr>
          <w:rFonts w:hint="eastAsia" w:ascii="宋体" w:eastAsia="宋体" w:cs="宋体"/>
          <w:bCs/>
          <w:sz w:val="44"/>
          <w:szCs w:val="44"/>
          <w:highlight w:val="none"/>
        </w:rPr>
        <w:t>项目</w:t>
      </w:r>
      <w:r>
        <w:rPr>
          <w:rFonts w:hint="eastAsia" w:ascii="宋体" w:eastAsia="宋体" w:cs="宋体"/>
          <w:sz w:val="44"/>
          <w:szCs w:val="44"/>
          <w:highlight w:val="none"/>
        </w:rPr>
        <w:t>招标</w:t>
      </w:r>
    </w:p>
    <w:p w14:paraId="58B9183E">
      <w:pPr>
        <w:snapToGrid w:val="0"/>
        <w:spacing w:before="240" w:line="500" w:lineRule="exact"/>
        <w:jc w:val="center"/>
        <w:rPr>
          <w:rFonts w:hint="eastAsia" w:ascii="宋体" w:eastAsia="宋体" w:cs="宋体"/>
          <w:sz w:val="44"/>
          <w:szCs w:val="44"/>
          <w:highlight w:val="none"/>
        </w:rPr>
      </w:pPr>
    </w:p>
    <w:p w14:paraId="6E02B3B7">
      <w:pPr>
        <w:snapToGrid w:val="0"/>
        <w:spacing w:before="240" w:line="500" w:lineRule="exact"/>
        <w:jc w:val="center"/>
        <w:rPr>
          <w:rFonts w:hint="eastAsia" w:ascii="宋体" w:eastAsia="宋体" w:cs="宋体"/>
          <w:sz w:val="44"/>
          <w:szCs w:val="44"/>
          <w:highlight w:val="none"/>
        </w:rPr>
      </w:pPr>
      <w:r>
        <w:rPr>
          <w:rFonts w:hint="eastAsia" w:ascii="宋体" w:eastAsia="宋体" w:cs="宋体"/>
          <w:sz w:val="44"/>
          <w:szCs w:val="44"/>
          <w:highlight w:val="none"/>
        </w:rPr>
        <w:t>投  标  文  件</w:t>
      </w:r>
    </w:p>
    <w:p w14:paraId="6AAF6DE6">
      <w:pPr>
        <w:snapToGrid w:val="0"/>
        <w:spacing w:line="500" w:lineRule="exact"/>
        <w:jc w:val="center"/>
        <w:rPr>
          <w:rFonts w:hint="eastAsia" w:ascii="宋体" w:eastAsia="宋体" w:cs="宋体"/>
          <w:sz w:val="32"/>
          <w:szCs w:val="32"/>
          <w:highlight w:val="none"/>
        </w:rPr>
      </w:pPr>
    </w:p>
    <w:p w14:paraId="1BAC8A01">
      <w:pPr>
        <w:snapToGrid w:val="0"/>
        <w:spacing w:line="500" w:lineRule="exact"/>
        <w:jc w:val="both"/>
        <w:rPr>
          <w:rFonts w:hint="eastAsia" w:ascii="宋体" w:eastAsia="宋体" w:cs="宋体"/>
          <w:sz w:val="32"/>
          <w:szCs w:val="32"/>
          <w:highlight w:val="none"/>
        </w:rPr>
      </w:pPr>
    </w:p>
    <w:p w14:paraId="4D5D023A">
      <w:pPr>
        <w:snapToGrid w:val="0"/>
        <w:spacing w:line="500" w:lineRule="exact"/>
        <w:jc w:val="center"/>
        <w:rPr>
          <w:rFonts w:hint="eastAsia" w:ascii="宋体" w:eastAsia="宋体" w:cs="宋体"/>
          <w:sz w:val="32"/>
          <w:szCs w:val="32"/>
          <w:highlight w:val="none"/>
        </w:rPr>
      </w:pPr>
    </w:p>
    <w:p w14:paraId="0303F61A">
      <w:pPr>
        <w:spacing w:line="500" w:lineRule="exact"/>
        <w:ind w:firstLine="560"/>
        <w:rPr>
          <w:rFonts w:hint="eastAsia" w:ascii="宋体" w:eastAsia="宋体" w:cs="宋体"/>
          <w:sz w:val="28"/>
          <w:szCs w:val="28"/>
          <w:highlight w:val="none"/>
        </w:rPr>
      </w:pPr>
      <w:r>
        <w:rPr>
          <w:rFonts w:hint="eastAsia" w:ascii="宋体" w:eastAsia="宋体" w:cs="宋体"/>
          <w:sz w:val="28"/>
          <w:szCs w:val="28"/>
          <w:highlight w:val="none"/>
        </w:rPr>
        <w:t>项 目 名 称 ：</w:t>
      </w:r>
      <w:r>
        <w:rPr>
          <w:rFonts w:hint="eastAsia" w:ascii="宋体" w:cs="宋体"/>
          <w:sz w:val="28"/>
          <w:szCs w:val="28"/>
          <w:highlight w:val="none"/>
          <w:u w:val="single"/>
          <w:lang w:eastAsia="zh-CN"/>
        </w:rPr>
        <w:t>巨化集团有限公司2025年度危险废物处置利用入围服务商项目</w:t>
      </w:r>
      <w:r>
        <w:rPr>
          <w:rFonts w:hint="eastAsia" w:ascii="宋体" w:eastAsia="宋体" w:cs="宋体"/>
          <w:sz w:val="28"/>
          <w:szCs w:val="28"/>
          <w:highlight w:val="none"/>
          <w:u w:val="single"/>
        </w:rPr>
        <w:t xml:space="preserve">                   </w:t>
      </w:r>
      <w:r>
        <w:rPr>
          <w:rFonts w:hint="eastAsia" w:ascii="宋体" w:eastAsia="宋体" w:cs="宋体"/>
          <w:sz w:val="28"/>
          <w:szCs w:val="28"/>
          <w:highlight w:val="none"/>
        </w:rPr>
        <w:t xml:space="preserve">                               </w:t>
      </w:r>
    </w:p>
    <w:p w14:paraId="46C62E4B">
      <w:pPr>
        <w:snapToGrid w:val="0"/>
        <w:spacing w:line="500" w:lineRule="exact"/>
        <w:ind w:firstLine="700" w:firstLineChars="250"/>
        <w:rPr>
          <w:rFonts w:hint="eastAsia" w:ascii="宋体" w:eastAsia="宋体" w:cs="宋体"/>
          <w:sz w:val="28"/>
          <w:szCs w:val="28"/>
          <w:highlight w:val="none"/>
          <w:u w:val="single"/>
        </w:rPr>
      </w:pPr>
      <w:r>
        <w:rPr>
          <w:rFonts w:hint="eastAsia" w:ascii="宋体" w:eastAsia="宋体" w:cs="宋体"/>
          <w:sz w:val="28"/>
          <w:szCs w:val="28"/>
          <w:highlight w:val="none"/>
        </w:rPr>
        <w:t>投标文件内容：</w:t>
      </w:r>
      <w:r>
        <w:rPr>
          <w:rFonts w:hint="eastAsia" w:ascii="宋体" w:eastAsia="宋体" w:cs="宋体"/>
          <w:sz w:val="28"/>
          <w:szCs w:val="28"/>
          <w:highlight w:val="none"/>
          <w:u w:val="single" w:color="000000"/>
        </w:rPr>
        <w:t xml:space="preserve"> </w:t>
      </w:r>
      <w:r>
        <w:rPr>
          <w:rStyle w:val="116"/>
          <w:rFonts w:hint="eastAsia" w:ascii="宋体" w:cs="宋体"/>
          <w:sz w:val="28"/>
          <w:szCs w:val="28"/>
          <w:highlight w:val="none"/>
          <w:u w:val="single" w:color="000000"/>
        </w:rPr>
        <w:t>技术资信</w:t>
      </w:r>
      <w:r>
        <w:rPr>
          <w:rStyle w:val="116"/>
          <w:rFonts w:hint="eastAsia" w:ascii="宋体" w:eastAsia="宋体" w:cs="宋体"/>
          <w:sz w:val="28"/>
          <w:szCs w:val="28"/>
          <w:highlight w:val="none"/>
          <w:u w:val="single" w:color="000000"/>
        </w:rPr>
        <w:t>文件</w:t>
      </w:r>
      <w:r>
        <w:rPr>
          <w:rFonts w:hint="eastAsia" w:ascii="宋体" w:eastAsia="宋体" w:cs="宋体"/>
          <w:sz w:val="28"/>
          <w:szCs w:val="28"/>
          <w:highlight w:val="none"/>
          <w:u w:val="single" w:color="000000"/>
        </w:rPr>
        <w:t xml:space="preserve">      </w:t>
      </w:r>
    </w:p>
    <w:p w14:paraId="3614D415">
      <w:pPr>
        <w:snapToGrid w:val="0"/>
        <w:spacing w:line="500" w:lineRule="exact"/>
        <w:ind w:firstLine="700" w:firstLineChars="250"/>
        <w:rPr>
          <w:rFonts w:hint="eastAsia" w:ascii="宋体" w:eastAsia="宋体" w:cs="宋体"/>
          <w:sz w:val="28"/>
          <w:szCs w:val="28"/>
          <w:highlight w:val="none"/>
        </w:rPr>
      </w:pPr>
      <w:r>
        <w:rPr>
          <w:rFonts w:hint="eastAsia" w:ascii="宋体" w:eastAsia="宋体" w:cs="宋体"/>
          <w:sz w:val="28"/>
          <w:szCs w:val="28"/>
          <w:highlight w:val="none"/>
        </w:rPr>
        <w:t>投  标  人：</w:t>
      </w:r>
      <w:r>
        <w:rPr>
          <w:rFonts w:hint="eastAsia" w:ascii="宋体" w:eastAsia="宋体" w:cs="宋体"/>
          <w:sz w:val="28"/>
          <w:szCs w:val="28"/>
          <w:highlight w:val="none"/>
          <w:u w:val="single" w:color="000000"/>
        </w:rPr>
        <w:t xml:space="preserve">                            （盖章）                  </w:t>
      </w:r>
    </w:p>
    <w:p w14:paraId="0ABA1D25">
      <w:pPr>
        <w:snapToGrid w:val="0"/>
        <w:spacing w:line="500" w:lineRule="exact"/>
        <w:ind w:firstLine="700" w:firstLineChars="250"/>
        <w:rPr>
          <w:rFonts w:hint="eastAsia" w:ascii="宋体" w:eastAsia="宋体" w:cs="宋体"/>
          <w:sz w:val="28"/>
          <w:szCs w:val="28"/>
          <w:highlight w:val="none"/>
        </w:rPr>
      </w:pPr>
      <w:r>
        <w:rPr>
          <w:rFonts w:hint="eastAsia" w:ascii="宋体" w:eastAsia="宋体" w:cs="宋体"/>
          <w:sz w:val="28"/>
          <w:szCs w:val="28"/>
          <w:highlight w:val="none"/>
        </w:rPr>
        <w:t>法定代表人：</w:t>
      </w:r>
      <w:r>
        <w:rPr>
          <w:rFonts w:hint="eastAsia" w:ascii="宋体" w:eastAsia="宋体" w:cs="宋体"/>
          <w:sz w:val="28"/>
          <w:szCs w:val="28"/>
          <w:highlight w:val="none"/>
          <w:u w:val="single" w:color="000000"/>
        </w:rPr>
        <w:t xml:space="preserve">                            （盖章）                  </w:t>
      </w:r>
    </w:p>
    <w:p w14:paraId="712EDB75">
      <w:pPr>
        <w:snapToGrid w:val="0"/>
        <w:spacing w:line="500" w:lineRule="exact"/>
        <w:jc w:val="center"/>
        <w:rPr>
          <w:rFonts w:hint="eastAsia" w:ascii="宋体" w:eastAsia="宋体" w:cs="宋体"/>
          <w:sz w:val="28"/>
          <w:szCs w:val="28"/>
          <w:highlight w:val="none"/>
        </w:rPr>
      </w:pPr>
      <w:r>
        <w:rPr>
          <w:rFonts w:hint="eastAsia" w:ascii="宋体" w:eastAsia="宋体" w:cs="宋体"/>
          <w:sz w:val="28"/>
          <w:szCs w:val="28"/>
          <w:highlight w:val="none"/>
        </w:rPr>
        <w:t xml:space="preserve"> </w:t>
      </w:r>
    </w:p>
    <w:p w14:paraId="0DC03FFB">
      <w:pPr>
        <w:snapToGrid w:val="0"/>
        <w:spacing w:line="500" w:lineRule="exact"/>
        <w:jc w:val="center"/>
        <w:rPr>
          <w:rFonts w:hint="eastAsia" w:ascii="宋体" w:eastAsia="宋体" w:cs="宋体"/>
          <w:sz w:val="28"/>
          <w:szCs w:val="28"/>
          <w:highlight w:val="none"/>
        </w:rPr>
      </w:pPr>
    </w:p>
    <w:p w14:paraId="0275FA90">
      <w:pPr>
        <w:snapToGrid w:val="0"/>
        <w:spacing w:line="500" w:lineRule="exact"/>
        <w:jc w:val="center"/>
        <w:rPr>
          <w:rFonts w:hint="eastAsia" w:ascii="宋体" w:eastAsia="宋体" w:cs="宋体"/>
          <w:sz w:val="28"/>
          <w:szCs w:val="28"/>
          <w:highlight w:val="none"/>
        </w:rPr>
      </w:pP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年</w:t>
      </w: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月</w:t>
      </w: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日</w:t>
      </w:r>
    </w:p>
    <w:p w14:paraId="5A4B5316">
      <w:pPr>
        <w:pStyle w:val="32"/>
        <w:spacing w:line="500" w:lineRule="exact"/>
        <w:rPr>
          <w:rFonts w:hint="eastAsia" w:ascii="宋体" w:eastAsia="宋体" w:cs="宋体"/>
          <w:szCs w:val="28"/>
          <w:highlight w:val="none"/>
        </w:rPr>
      </w:pPr>
    </w:p>
    <w:p w14:paraId="1D4FB1F3">
      <w:pPr>
        <w:rPr>
          <w:rFonts w:hint="eastAsia" w:ascii="宋体" w:eastAsia="宋体" w:cs="宋体"/>
          <w:sz w:val="28"/>
          <w:szCs w:val="28"/>
          <w:highlight w:val="none"/>
        </w:rPr>
      </w:pPr>
    </w:p>
    <w:p w14:paraId="17B8149C">
      <w:pPr>
        <w:pStyle w:val="32"/>
        <w:rPr>
          <w:rFonts w:hint="eastAsia" w:ascii="宋体" w:eastAsia="宋体" w:cs="宋体"/>
          <w:szCs w:val="28"/>
          <w:highlight w:val="none"/>
        </w:rPr>
      </w:pPr>
    </w:p>
    <w:p w14:paraId="3A9E276A">
      <w:pPr>
        <w:rPr>
          <w:rFonts w:hint="eastAsia" w:ascii="宋体" w:eastAsia="宋体" w:cs="宋体"/>
          <w:szCs w:val="28"/>
          <w:highlight w:val="none"/>
        </w:rPr>
      </w:pPr>
    </w:p>
    <w:p w14:paraId="186D35B3">
      <w:pPr>
        <w:pStyle w:val="2"/>
        <w:rPr>
          <w:rFonts w:hint="eastAsia" w:ascii="宋体" w:eastAsia="宋体" w:cs="宋体"/>
          <w:szCs w:val="28"/>
          <w:highlight w:val="none"/>
        </w:rPr>
      </w:pPr>
    </w:p>
    <w:p w14:paraId="3A995F59">
      <w:pPr>
        <w:pStyle w:val="4"/>
        <w:rPr>
          <w:rFonts w:hint="eastAsia"/>
        </w:rPr>
      </w:pPr>
    </w:p>
    <w:p w14:paraId="31DF51A4">
      <w:pPr>
        <w:rPr>
          <w:rFonts w:hint="eastAsia" w:ascii="宋体" w:eastAsia="宋体" w:cs="宋体"/>
          <w:szCs w:val="28"/>
          <w:highlight w:val="none"/>
        </w:rPr>
      </w:pPr>
    </w:p>
    <w:p w14:paraId="2F25C65E">
      <w:pPr>
        <w:snapToGrid w:val="0"/>
        <w:spacing w:line="360" w:lineRule="auto"/>
        <w:jc w:val="center"/>
        <w:rPr>
          <w:rFonts w:ascii="宋体"/>
          <w:sz w:val="24"/>
        </w:rPr>
      </w:pPr>
      <w:r>
        <w:rPr>
          <w:rFonts w:hint="eastAsia" w:ascii="宋体"/>
          <w:b/>
          <w:sz w:val="30"/>
          <w:szCs w:val="30"/>
        </w:rPr>
        <w:t>投标人资格承诺函</w:t>
      </w:r>
    </w:p>
    <w:p w14:paraId="7172BF00">
      <w:pPr>
        <w:snapToGrid w:val="0"/>
        <w:spacing w:line="360" w:lineRule="auto"/>
        <w:rPr>
          <w:rFonts w:ascii="宋体"/>
          <w:sz w:val="24"/>
          <w:szCs w:val="20"/>
        </w:rPr>
      </w:pPr>
      <w:r>
        <w:rPr>
          <w:rFonts w:hint="eastAsia" w:ascii="宋体"/>
          <w:sz w:val="24"/>
        </w:rPr>
        <w:t>致：</w:t>
      </w:r>
      <w:r>
        <w:rPr>
          <w:rFonts w:hint="eastAsia" w:ascii="宋体"/>
          <w:sz w:val="24"/>
          <w:u w:val="single"/>
        </w:rPr>
        <w:t>招标人</w:t>
      </w:r>
    </w:p>
    <w:p w14:paraId="026A8C45">
      <w:pPr>
        <w:snapToGrid w:val="0"/>
        <w:spacing w:line="360" w:lineRule="auto"/>
        <w:ind w:firstLine="720" w:firstLineChars="300"/>
        <w:rPr>
          <w:rFonts w:ascii="宋体"/>
          <w:sz w:val="24"/>
          <w:szCs w:val="20"/>
        </w:rPr>
      </w:pPr>
      <w:r>
        <w:rPr>
          <w:rFonts w:hint="eastAsia" w:ascii="宋体"/>
          <w:sz w:val="24"/>
          <w:u w:val="single"/>
        </w:rPr>
        <w:t xml:space="preserve">                       </w:t>
      </w:r>
      <w:r>
        <w:rPr>
          <w:rFonts w:hint="eastAsia" w:ascii="宋体"/>
          <w:sz w:val="24"/>
        </w:rPr>
        <w:t>（投标人名称）符合参加本次招标活动的资格条件并承诺如下。</w:t>
      </w:r>
    </w:p>
    <w:p w14:paraId="07E9877B">
      <w:pPr>
        <w:keepNext w:val="0"/>
        <w:keepLines w:val="0"/>
        <w:pageBreakBefore w:val="0"/>
        <w:kinsoku/>
        <w:wordWrap/>
        <w:topLinePunct w:val="0"/>
        <w:autoSpaceDE/>
        <w:autoSpaceDN/>
        <w:bidi w:val="0"/>
        <w:snapToGrid w:val="0"/>
        <w:spacing w:line="360" w:lineRule="auto"/>
        <w:ind w:firstLine="480" w:firstLineChars="200"/>
        <w:jc w:val="left"/>
        <w:textAlignment w:val="auto"/>
        <w:rPr>
          <w:rFonts w:ascii="宋体" w:cs="宋体"/>
          <w:sz w:val="24"/>
          <w:szCs w:val="24"/>
        </w:rPr>
      </w:pPr>
      <w:r>
        <w:rPr>
          <w:rFonts w:hint="eastAsia" w:ascii="宋体" w:cs="宋体"/>
          <w:sz w:val="24"/>
          <w:szCs w:val="24"/>
          <w:lang w:val="en-US" w:eastAsia="zh-CN"/>
        </w:rPr>
        <w:t>一、</w:t>
      </w:r>
      <w:r>
        <w:rPr>
          <w:rFonts w:hint="eastAsia" w:ascii="宋体" w:cs="宋体"/>
          <w:sz w:val="24"/>
          <w:szCs w:val="24"/>
        </w:rPr>
        <w:t>投标人具备独立承担民事责任的能力，未被巨化集团禁止参加采购活动。</w:t>
      </w:r>
    </w:p>
    <w:p w14:paraId="6DF66D17">
      <w:pPr>
        <w:keepNext w:val="0"/>
        <w:keepLines w:val="0"/>
        <w:pageBreakBefore w:val="0"/>
        <w:kinsoku/>
        <w:wordWrap/>
        <w:topLinePunct w:val="0"/>
        <w:autoSpaceDE/>
        <w:autoSpaceDN/>
        <w:bidi w:val="0"/>
        <w:snapToGrid w:val="0"/>
        <w:spacing w:line="360" w:lineRule="auto"/>
        <w:ind w:firstLine="480" w:firstLineChars="200"/>
        <w:jc w:val="left"/>
        <w:textAlignment w:val="auto"/>
        <w:rPr>
          <w:rFonts w:ascii="宋体" w:cs="宋体"/>
          <w:sz w:val="24"/>
          <w:szCs w:val="24"/>
        </w:rPr>
      </w:pPr>
      <w:r>
        <w:rPr>
          <w:rFonts w:hint="eastAsia" w:ascii="宋体" w:cs="宋体"/>
          <w:sz w:val="24"/>
          <w:szCs w:val="24"/>
          <w:lang w:val="en-US" w:eastAsia="zh-CN"/>
        </w:rPr>
        <w:t>二、</w:t>
      </w:r>
      <w:r>
        <w:rPr>
          <w:rFonts w:hint="eastAsia" w:ascii="宋体" w:cs="宋体"/>
          <w:sz w:val="24"/>
          <w:szCs w:val="24"/>
        </w:rPr>
        <w:t>投标人未被“信用中国”（www.creditchina.gov.cn)列入失信被执行人、重大税收违法案件当事人名单。</w:t>
      </w:r>
    </w:p>
    <w:p w14:paraId="7BECA714">
      <w:pPr>
        <w:snapToGrid w:val="0"/>
        <w:spacing w:line="360" w:lineRule="auto"/>
        <w:ind w:firstLine="480" w:firstLineChars="200"/>
        <w:rPr>
          <w:rFonts w:ascii="宋体"/>
          <w:sz w:val="24"/>
        </w:rPr>
      </w:pPr>
      <w:r>
        <w:rPr>
          <w:rFonts w:hint="eastAsia" w:ascii="宋体"/>
          <w:sz w:val="24"/>
          <w:lang w:val="en-US" w:eastAsia="zh-CN"/>
        </w:rPr>
        <w:t>三</w:t>
      </w:r>
      <w:r>
        <w:rPr>
          <w:rFonts w:hint="eastAsia" w:ascii="宋体"/>
          <w:sz w:val="24"/>
        </w:rPr>
        <w:t>、投标人本次投标无如下情形：</w:t>
      </w:r>
    </w:p>
    <w:p w14:paraId="4153B7C9">
      <w:pPr>
        <w:snapToGrid w:val="0"/>
        <w:spacing w:line="360" w:lineRule="auto"/>
        <w:ind w:firstLine="480" w:firstLineChars="200"/>
        <w:rPr>
          <w:rFonts w:ascii="宋体"/>
          <w:sz w:val="24"/>
        </w:rPr>
      </w:pPr>
      <w:r>
        <w:rPr>
          <w:rFonts w:hint="eastAsia" w:ascii="宋体"/>
          <w:sz w:val="24"/>
        </w:rPr>
        <w:t>1. 单位负责人为同一人或者存在控股、管理关系的不同单位，存在关联关系的不同单位，参加同一标项投标。</w:t>
      </w:r>
    </w:p>
    <w:p w14:paraId="5D001A61">
      <w:pPr>
        <w:snapToGrid w:val="0"/>
        <w:spacing w:line="360" w:lineRule="auto"/>
        <w:ind w:firstLine="480" w:firstLineChars="200"/>
        <w:rPr>
          <w:rFonts w:ascii="宋体"/>
          <w:sz w:val="24"/>
        </w:rPr>
      </w:pPr>
      <w:r>
        <w:rPr>
          <w:rFonts w:hint="eastAsia" w:ascii="宋体"/>
          <w:sz w:val="24"/>
        </w:rPr>
        <w:t>2.关联关系是具有以下情形之一：</w:t>
      </w:r>
    </w:p>
    <w:p w14:paraId="009FF6AD">
      <w:pPr>
        <w:snapToGrid w:val="0"/>
        <w:spacing w:line="360" w:lineRule="auto"/>
        <w:ind w:firstLine="480" w:firstLineChars="200"/>
        <w:rPr>
          <w:rFonts w:ascii="宋体"/>
          <w:sz w:val="24"/>
        </w:rPr>
      </w:pPr>
      <w:r>
        <w:rPr>
          <w:rFonts w:ascii="宋体"/>
          <w:sz w:val="24"/>
        </w:rPr>
        <w:t>A.法定代表人或负责人或实际控制人是同一人</w:t>
      </w:r>
    </w:p>
    <w:p w14:paraId="071B6842">
      <w:pPr>
        <w:snapToGrid w:val="0"/>
        <w:spacing w:line="360" w:lineRule="auto"/>
        <w:ind w:firstLine="480" w:firstLineChars="200"/>
        <w:rPr>
          <w:rFonts w:ascii="宋体"/>
          <w:sz w:val="24"/>
        </w:rPr>
      </w:pPr>
      <w:r>
        <w:rPr>
          <w:rFonts w:ascii="宋体"/>
          <w:sz w:val="24"/>
        </w:rPr>
        <w:t>B.法定代表人或负责人或实际控制人是夫妻关系</w:t>
      </w:r>
    </w:p>
    <w:p w14:paraId="3DB8312C">
      <w:pPr>
        <w:snapToGrid w:val="0"/>
        <w:spacing w:line="360" w:lineRule="auto"/>
        <w:ind w:firstLine="480" w:firstLineChars="200"/>
        <w:rPr>
          <w:rFonts w:ascii="宋体"/>
          <w:sz w:val="24"/>
        </w:rPr>
      </w:pPr>
      <w:r>
        <w:rPr>
          <w:rFonts w:ascii="宋体"/>
          <w:sz w:val="24"/>
        </w:rPr>
        <w:t>C.法定代表人或负责人或实际控制人是直系血亲关系</w:t>
      </w:r>
    </w:p>
    <w:p w14:paraId="5C2A0788">
      <w:pPr>
        <w:snapToGrid w:val="0"/>
        <w:spacing w:line="360" w:lineRule="auto"/>
        <w:ind w:firstLine="480" w:firstLineChars="200"/>
        <w:rPr>
          <w:rFonts w:ascii="宋体"/>
          <w:sz w:val="24"/>
        </w:rPr>
      </w:pPr>
      <w:r>
        <w:rPr>
          <w:rFonts w:ascii="宋体"/>
          <w:sz w:val="24"/>
        </w:rPr>
        <w:t>D.法定代表人或负责人或实际控制人存在三代以内旁系血亲关系</w:t>
      </w:r>
    </w:p>
    <w:p w14:paraId="2704408D">
      <w:pPr>
        <w:snapToGrid w:val="0"/>
        <w:spacing w:line="360" w:lineRule="auto"/>
        <w:ind w:firstLine="480" w:firstLineChars="200"/>
        <w:rPr>
          <w:rFonts w:ascii="宋体"/>
          <w:sz w:val="24"/>
        </w:rPr>
      </w:pPr>
      <w:r>
        <w:rPr>
          <w:rFonts w:ascii="宋体"/>
          <w:sz w:val="24"/>
        </w:rPr>
        <w:t>E.法定代表人或负责人或实际控制人存在近姻亲关系</w:t>
      </w:r>
    </w:p>
    <w:p w14:paraId="4B59BF02">
      <w:pPr>
        <w:snapToGrid w:val="0"/>
        <w:spacing w:line="360" w:lineRule="auto"/>
        <w:ind w:firstLine="480" w:firstLineChars="200"/>
        <w:rPr>
          <w:rFonts w:ascii="宋体"/>
          <w:sz w:val="24"/>
        </w:rPr>
      </w:pPr>
      <w:r>
        <w:rPr>
          <w:rFonts w:ascii="宋体"/>
          <w:sz w:val="24"/>
        </w:rPr>
        <w:t>F.法定代表人或负责人或实际控制人存在股份控制或实际控制关系</w:t>
      </w:r>
    </w:p>
    <w:p w14:paraId="1ABE3ECC">
      <w:pPr>
        <w:snapToGrid w:val="0"/>
        <w:spacing w:line="360" w:lineRule="auto"/>
        <w:ind w:firstLine="480" w:firstLineChars="200"/>
        <w:rPr>
          <w:rFonts w:ascii="宋体"/>
          <w:sz w:val="24"/>
        </w:rPr>
      </w:pPr>
      <w:r>
        <w:rPr>
          <w:rFonts w:ascii="宋体"/>
          <w:sz w:val="24"/>
        </w:rPr>
        <w:t>G.存在共同直接或间接投资设立子公司、联营企业和合营企业情况</w:t>
      </w:r>
    </w:p>
    <w:p w14:paraId="4A1B6621">
      <w:pPr>
        <w:snapToGrid w:val="0"/>
        <w:spacing w:line="360" w:lineRule="auto"/>
        <w:ind w:firstLine="480" w:firstLineChars="200"/>
        <w:rPr>
          <w:rFonts w:ascii="宋体"/>
          <w:sz w:val="24"/>
        </w:rPr>
      </w:pPr>
      <w:r>
        <w:rPr>
          <w:rFonts w:ascii="宋体"/>
          <w:sz w:val="24"/>
        </w:rPr>
        <w:t>H.存在分级代理或代销关系、同一生产制造商关系、管理关系、重要业务（占主营业务收入50%以上）或重要财务往来关系（如融资）等其他实质性控制关系</w:t>
      </w:r>
    </w:p>
    <w:p w14:paraId="1B6A4F95">
      <w:pPr>
        <w:snapToGrid w:val="0"/>
        <w:spacing w:line="360" w:lineRule="auto"/>
        <w:ind w:firstLine="480" w:firstLineChars="200"/>
        <w:rPr>
          <w:rFonts w:ascii="宋体"/>
          <w:sz w:val="24"/>
        </w:rPr>
      </w:pPr>
      <w:r>
        <w:rPr>
          <w:rFonts w:hint="eastAsia" w:ascii="宋体"/>
          <w:sz w:val="24"/>
        </w:rPr>
        <w:t>I.其他利害关系情况</w:t>
      </w:r>
    </w:p>
    <w:p w14:paraId="50ECCEBE">
      <w:pPr>
        <w:snapToGrid w:val="0"/>
        <w:spacing w:line="360" w:lineRule="auto"/>
        <w:ind w:firstLine="480" w:firstLineChars="200"/>
        <w:rPr>
          <w:rFonts w:ascii="宋体"/>
          <w:sz w:val="24"/>
          <w:u w:val="single"/>
        </w:rPr>
      </w:pPr>
      <w:r>
        <w:rPr>
          <w:rFonts w:hint="eastAsia" w:ascii="宋体"/>
          <w:sz w:val="24"/>
          <w:lang w:val="en-US" w:eastAsia="zh-CN"/>
        </w:rPr>
        <w:t>四</w:t>
      </w:r>
      <w:r>
        <w:rPr>
          <w:rFonts w:hint="eastAsia" w:ascii="宋体"/>
          <w:sz w:val="24"/>
        </w:rPr>
        <w:t>、满足本项目的资格要求：</w:t>
      </w:r>
      <w:r>
        <w:rPr>
          <w:rFonts w:hint="eastAsia" w:ascii="宋体"/>
          <w:sz w:val="24"/>
          <w:u w:val="single"/>
        </w:rPr>
        <w:t xml:space="preserve">          。</w:t>
      </w:r>
    </w:p>
    <w:p w14:paraId="585548B1">
      <w:pPr>
        <w:snapToGrid w:val="0"/>
        <w:spacing w:line="360" w:lineRule="auto"/>
        <w:ind w:firstLine="480" w:firstLineChars="200"/>
        <w:rPr>
          <w:rFonts w:ascii="宋体" w:cs="宋体"/>
          <w:kern w:val="0"/>
          <w:sz w:val="24"/>
        </w:rPr>
      </w:pPr>
      <w:r>
        <w:rPr>
          <w:rFonts w:hint="eastAsia" w:ascii="宋体" w:cs="宋体"/>
          <w:kern w:val="0"/>
          <w:sz w:val="24"/>
        </w:rPr>
        <w:t>本单位对上述承诺内容的真实性负责，已清楚知道并严格遵守招标法律法规和承诺要求如有虚假，将依法承担相应责任。</w:t>
      </w:r>
    </w:p>
    <w:p w14:paraId="6B5B95A8">
      <w:pPr>
        <w:snapToGrid w:val="0"/>
        <w:spacing w:line="360" w:lineRule="auto"/>
        <w:rPr>
          <w:rFonts w:ascii="宋体"/>
          <w:sz w:val="24"/>
        </w:rPr>
      </w:pPr>
    </w:p>
    <w:p w14:paraId="0AAFB460">
      <w:pPr>
        <w:widowControl/>
        <w:snapToGrid w:val="0"/>
        <w:spacing w:line="360" w:lineRule="auto"/>
        <w:jc w:val="left"/>
        <w:rPr>
          <w:rFonts w:ascii="宋体" w:cs="Arial"/>
          <w:kern w:val="0"/>
          <w:sz w:val="24"/>
        </w:rPr>
      </w:pPr>
      <w:r>
        <w:rPr>
          <w:rFonts w:hint="eastAsia" w:ascii="宋体"/>
          <w:sz w:val="24"/>
        </w:rPr>
        <w:t>投标人：</w:t>
      </w:r>
      <w:r>
        <w:rPr>
          <w:rFonts w:hint="eastAsia" w:ascii="宋体"/>
          <w:sz w:val="24"/>
          <w:u w:val="single"/>
        </w:rPr>
        <w:t xml:space="preserve">       （盖章）        </w:t>
      </w:r>
      <w:r>
        <w:rPr>
          <w:rFonts w:hint="eastAsia" w:ascii="宋体"/>
          <w:sz w:val="24"/>
        </w:rPr>
        <w:t xml:space="preserve">                      年    月    日</w:t>
      </w:r>
    </w:p>
    <w:p w14:paraId="6564A240">
      <w:pPr>
        <w:spacing w:line="360" w:lineRule="auto"/>
        <w:jc w:val="center"/>
        <w:rPr>
          <w:rFonts w:ascii="宋体"/>
          <w:b/>
          <w:sz w:val="32"/>
        </w:rPr>
      </w:pPr>
    </w:p>
    <w:p w14:paraId="547B830B">
      <w:pPr>
        <w:snapToGrid w:val="0"/>
        <w:spacing w:line="360" w:lineRule="auto"/>
        <w:jc w:val="center"/>
        <w:rPr>
          <w:rFonts w:ascii="宋体"/>
          <w:b/>
          <w:sz w:val="30"/>
          <w:szCs w:val="30"/>
        </w:rPr>
      </w:pPr>
    </w:p>
    <w:p w14:paraId="58BD0E3C">
      <w:pPr>
        <w:spacing w:line="360" w:lineRule="auto"/>
        <w:jc w:val="center"/>
        <w:outlineLvl w:val="1"/>
        <w:rPr>
          <w:rFonts w:hint="eastAsia" w:ascii="宋体"/>
          <w:b/>
          <w:sz w:val="32"/>
        </w:rPr>
      </w:pPr>
    </w:p>
    <w:p w14:paraId="40E97F11">
      <w:pPr>
        <w:snapToGrid w:val="0"/>
        <w:spacing w:line="360" w:lineRule="auto"/>
        <w:jc w:val="center"/>
        <w:rPr>
          <w:rFonts w:ascii="宋体"/>
          <w:b/>
          <w:sz w:val="30"/>
          <w:szCs w:val="30"/>
        </w:rPr>
      </w:pPr>
      <w:r>
        <w:rPr>
          <w:rFonts w:hint="eastAsia" w:ascii="宋体"/>
          <w:b/>
          <w:sz w:val="30"/>
          <w:szCs w:val="30"/>
        </w:rPr>
        <w:t>法定代表人身份证明</w:t>
      </w:r>
    </w:p>
    <w:p w14:paraId="6ECE7CB8">
      <w:pPr>
        <w:autoSpaceDE w:val="0"/>
        <w:autoSpaceDN w:val="0"/>
        <w:adjustRightInd w:val="0"/>
        <w:spacing w:line="400" w:lineRule="exact"/>
        <w:jc w:val="center"/>
        <w:rPr>
          <w:rFonts w:ascii="宋体" w:cs="宋体"/>
          <w:bCs/>
          <w:sz w:val="30"/>
          <w:szCs w:val="30"/>
          <w:lang w:val="zh-CN"/>
        </w:rPr>
      </w:pPr>
    </w:p>
    <w:p w14:paraId="4589E0F5">
      <w:pPr>
        <w:autoSpaceDE w:val="0"/>
        <w:autoSpaceDN w:val="0"/>
        <w:adjustRightInd w:val="0"/>
        <w:spacing w:line="400" w:lineRule="exact"/>
        <w:jc w:val="center"/>
        <w:rPr>
          <w:rFonts w:ascii="宋体" w:cs="宋体"/>
          <w:bCs/>
          <w:sz w:val="30"/>
          <w:szCs w:val="30"/>
          <w:lang w:val="zh-CN"/>
        </w:rPr>
      </w:pPr>
    </w:p>
    <w:p w14:paraId="2FA5D6EF">
      <w:pPr>
        <w:spacing w:line="500" w:lineRule="exact"/>
        <w:ind w:firstLine="424" w:firstLineChars="177"/>
        <w:rPr>
          <w:rFonts w:ascii="宋体" w:cs="宋体"/>
          <w:sz w:val="24"/>
          <w:u w:val="single"/>
        </w:rPr>
      </w:pPr>
      <w:r>
        <w:rPr>
          <w:rFonts w:hint="eastAsia" w:ascii="宋体" w:cs="宋体"/>
          <w:sz w:val="24"/>
        </w:rPr>
        <w:t>投 标 人：</w:t>
      </w:r>
      <w:r>
        <w:rPr>
          <w:rFonts w:hint="eastAsia" w:ascii="宋体" w:cs="宋体"/>
          <w:sz w:val="24"/>
          <w:u w:val="single"/>
        </w:rPr>
        <w:t xml:space="preserve">                     </w:t>
      </w:r>
    </w:p>
    <w:p w14:paraId="278F82BF">
      <w:pPr>
        <w:spacing w:line="500" w:lineRule="exact"/>
        <w:ind w:firstLine="424" w:firstLineChars="177"/>
        <w:rPr>
          <w:rFonts w:ascii="宋体" w:cs="宋体"/>
          <w:sz w:val="24"/>
        </w:rPr>
      </w:pPr>
      <w:r>
        <w:rPr>
          <w:rFonts w:hint="eastAsia" w:ascii="宋体" w:cs="宋体"/>
          <w:sz w:val="24"/>
        </w:rPr>
        <w:t>单位性质：</w:t>
      </w:r>
      <w:r>
        <w:rPr>
          <w:rFonts w:hint="eastAsia" w:ascii="宋体" w:cs="宋体"/>
          <w:sz w:val="24"/>
          <w:u w:val="single"/>
        </w:rPr>
        <w:t xml:space="preserve">                     </w:t>
      </w:r>
    </w:p>
    <w:p w14:paraId="1D71D673">
      <w:pPr>
        <w:spacing w:line="500" w:lineRule="exact"/>
        <w:ind w:firstLine="424" w:firstLineChars="177"/>
        <w:rPr>
          <w:rFonts w:ascii="宋体" w:cs="宋体"/>
          <w:sz w:val="24"/>
        </w:rPr>
      </w:pPr>
      <w:r>
        <w:rPr>
          <w:rFonts w:hint="eastAsia" w:ascii="宋体" w:cs="宋体"/>
          <w:sz w:val="24"/>
        </w:rPr>
        <w:t>地    址：</w:t>
      </w:r>
      <w:r>
        <w:rPr>
          <w:rFonts w:hint="eastAsia" w:ascii="宋体" w:cs="宋体"/>
          <w:sz w:val="24"/>
          <w:u w:val="single"/>
        </w:rPr>
        <w:t xml:space="preserve">                     </w:t>
      </w:r>
    </w:p>
    <w:p w14:paraId="0410EB5B">
      <w:pPr>
        <w:spacing w:line="500" w:lineRule="exact"/>
        <w:ind w:firstLine="424" w:firstLineChars="177"/>
        <w:rPr>
          <w:rFonts w:ascii="宋体" w:cs="宋体"/>
          <w:sz w:val="24"/>
        </w:rPr>
      </w:pPr>
      <w:r>
        <w:rPr>
          <w:rFonts w:hint="eastAsia" w:ascii="宋体" w:cs="宋体"/>
          <w:sz w:val="24"/>
        </w:rPr>
        <w:t>成立时间：</w:t>
      </w:r>
      <w:r>
        <w:rPr>
          <w:rFonts w:hint="eastAsia" w:ascii="宋体" w:cs="宋体"/>
          <w:sz w:val="24"/>
          <w:u w:val="single"/>
        </w:rPr>
        <w:t xml:space="preserve">   </w:t>
      </w:r>
      <w:r>
        <w:rPr>
          <w:rFonts w:hint="eastAsia" w:ascii="宋体" w:cs="宋体"/>
          <w:sz w:val="24"/>
        </w:rPr>
        <w:t xml:space="preserve"> 年</w:t>
      </w:r>
      <w:r>
        <w:rPr>
          <w:rFonts w:hint="eastAsia" w:ascii="宋体" w:cs="宋体"/>
          <w:sz w:val="24"/>
          <w:u w:val="single"/>
        </w:rPr>
        <w:t xml:space="preserve">  </w:t>
      </w:r>
      <w:r>
        <w:rPr>
          <w:rFonts w:hint="eastAsia" w:ascii="宋体" w:cs="宋体"/>
          <w:sz w:val="24"/>
        </w:rPr>
        <w:t xml:space="preserve"> 月</w:t>
      </w:r>
      <w:r>
        <w:rPr>
          <w:rFonts w:hint="eastAsia" w:ascii="宋体" w:cs="宋体"/>
          <w:sz w:val="24"/>
          <w:u w:val="single"/>
        </w:rPr>
        <w:t xml:space="preserve">   </w:t>
      </w:r>
      <w:r>
        <w:rPr>
          <w:rFonts w:hint="eastAsia" w:ascii="宋体" w:cs="宋体"/>
          <w:sz w:val="24"/>
        </w:rPr>
        <w:t>日</w:t>
      </w:r>
    </w:p>
    <w:p w14:paraId="467A7AF5">
      <w:pPr>
        <w:spacing w:line="500" w:lineRule="exact"/>
        <w:ind w:firstLine="424" w:firstLineChars="177"/>
        <w:rPr>
          <w:rFonts w:ascii="宋体" w:cs="宋体"/>
          <w:sz w:val="24"/>
        </w:rPr>
      </w:pPr>
      <w:r>
        <w:rPr>
          <w:rFonts w:hint="eastAsia" w:ascii="宋体" w:cs="宋体"/>
          <w:sz w:val="24"/>
        </w:rPr>
        <w:t>经营期限：</w:t>
      </w:r>
      <w:r>
        <w:rPr>
          <w:rFonts w:hint="eastAsia" w:ascii="宋体" w:cs="宋体"/>
          <w:sz w:val="24"/>
          <w:u w:val="single"/>
        </w:rPr>
        <w:t xml:space="preserve">                     </w:t>
      </w:r>
    </w:p>
    <w:p w14:paraId="5EA4CE2F">
      <w:pPr>
        <w:spacing w:line="500" w:lineRule="exact"/>
        <w:ind w:firstLine="424" w:firstLineChars="177"/>
        <w:rPr>
          <w:rFonts w:ascii="宋体" w:cs="宋体"/>
          <w:sz w:val="24"/>
          <w:u w:val="single"/>
        </w:rPr>
      </w:pPr>
      <w:r>
        <w:rPr>
          <w:rFonts w:hint="eastAsia" w:ascii="宋体" w:cs="宋体"/>
          <w:sz w:val="24"/>
        </w:rPr>
        <w:t>姓   名：</w:t>
      </w:r>
      <w:r>
        <w:rPr>
          <w:rFonts w:hint="eastAsia" w:ascii="宋体" w:cs="宋体"/>
          <w:sz w:val="24"/>
          <w:u w:val="single"/>
        </w:rPr>
        <w:t xml:space="preserve">     </w:t>
      </w:r>
      <w:r>
        <w:rPr>
          <w:rFonts w:hint="eastAsia" w:ascii="宋体" w:cs="宋体"/>
          <w:sz w:val="24"/>
        </w:rPr>
        <w:t>性  别：</w:t>
      </w:r>
      <w:r>
        <w:rPr>
          <w:rFonts w:hint="eastAsia" w:ascii="宋体" w:cs="宋体"/>
          <w:sz w:val="24"/>
          <w:u w:val="single"/>
        </w:rPr>
        <w:t xml:space="preserve">       </w:t>
      </w:r>
      <w:r>
        <w:rPr>
          <w:rFonts w:hint="eastAsia" w:ascii="宋体" w:cs="宋体"/>
          <w:sz w:val="24"/>
        </w:rPr>
        <w:t>年   龄：</w:t>
      </w:r>
      <w:r>
        <w:rPr>
          <w:rFonts w:hint="eastAsia" w:ascii="宋体" w:cs="宋体"/>
          <w:sz w:val="24"/>
          <w:u w:val="single"/>
        </w:rPr>
        <w:t xml:space="preserve">    </w:t>
      </w:r>
      <w:r>
        <w:rPr>
          <w:rFonts w:hint="eastAsia" w:ascii="宋体" w:cs="宋体"/>
          <w:sz w:val="24"/>
        </w:rPr>
        <w:t xml:space="preserve"> 职  务：</w:t>
      </w:r>
      <w:r>
        <w:rPr>
          <w:rFonts w:hint="eastAsia" w:ascii="宋体" w:cs="宋体"/>
          <w:sz w:val="24"/>
          <w:u w:val="single"/>
        </w:rPr>
        <w:t xml:space="preserve">     </w:t>
      </w:r>
    </w:p>
    <w:p w14:paraId="63C68B26">
      <w:pPr>
        <w:spacing w:line="500" w:lineRule="exact"/>
        <w:ind w:firstLine="424" w:firstLineChars="177"/>
        <w:rPr>
          <w:rFonts w:ascii="宋体" w:cs="宋体"/>
          <w:sz w:val="24"/>
        </w:rPr>
      </w:pPr>
      <w:r>
        <w:rPr>
          <w:rFonts w:hint="eastAsia" w:ascii="宋体" w:cs="宋体"/>
          <w:sz w:val="24"/>
        </w:rPr>
        <w:t>系（投标人名称）的法定代表人。</w:t>
      </w:r>
    </w:p>
    <w:p w14:paraId="36BB5B9A">
      <w:pPr>
        <w:spacing w:line="440" w:lineRule="exact"/>
        <w:ind w:firstLine="426"/>
        <w:rPr>
          <w:rFonts w:ascii="宋体" w:cs="宋体"/>
          <w:sz w:val="24"/>
        </w:rPr>
      </w:pPr>
      <w:r>
        <w:rPr>
          <w:rFonts w:hint="eastAsia" w:ascii="宋体" w:cs="宋体"/>
          <w:sz w:val="24"/>
        </w:rPr>
        <w:t>特此证明。</w:t>
      </w:r>
    </w:p>
    <w:p w14:paraId="60DEA81B">
      <w:pPr>
        <w:spacing w:line="500" w:lineRule="exact"/>
        <w:ind w:firstLine="424" w:firstLineChars="177"/>
        <w:rPr>
          <w:rFonts w:ascii="宋体" w:cs="宋体"/>
          <w:sz w:val="24"/>
        </w:rPr>
      </w:pPr>
    </w:p>
    <w:p w14:paraId="5D6E6D3B">
      <w:pPr>
        <w:spacing w:line="420" w:lineRule="atLeast"/>
        <w:rPr>
          <w:rFonts w:ascii="宋体" w:cs="宋体"/>
          <w:sz w:val="24"/>
        </w:rPr>
      </w:pPr>
    </w:p>
    <w:p w14:paraId="280D0D5B">
      <w:pPr>
        <w:spacing w:line="420" w:lineRule="atLeast"/>
        <w:ind w:right="-64" w:firstLine="3600"/>
        <w:rPr>
          <w:rFonts w:ascii="宋体" w:cs="宋体"/>
          <w:sz w:val="24"/>
        </w:rPr>
      </w:pPr>
      <w:r>
        <w:rPr>
          <w:rFonts w:hint="eastAsia" w:ascii="宋体" w:cs="宋体"/>
          <w:sz w:val="24"/>
        </w:rPr>
        <w:t>投标人：（盖单位章）</w:t>
      </w:r>
    </w:p>
    <w:p w14:paraId="2B653AC0">
      <w:pPr>
        <w:spacing w:line="420" w:lineRule="atLeast"/>
        <w:ind w:right="420"/>
        <w:rPr>
          <w:rFonts w:ascii="宋体" w:cs="宋体"/>
          <w:sz w:val="24"/>
          <w:u w:val="single"/>
        </w:rPr>
      </w:pPr>
    </w:p>
    <w:p w14:paraId="4FA5587E">
      <w:pPr>
        <w:spacing w:line="360" w:lineRule="exact"/>
        <w:ind w:firstLine="3600" w:firstLineChars="1500"/>
        <w:rPr>
          <w:rFonts w:ascii="宋体" w:cs="宋体"/>
          <w:sz w:val="24"/>
        </w:rPr>
      </w:pPr>
      <w:r>
        <w:rPr>
          <w:rFonts w:hint="eastAsia" w:ascii="宋体" w:cs="宋体"/>
          <w:sz w:val="24"/>
        </w:rPr>
        <w:t>日  期：</w:t>
      </w:r>
    </w:p>
    <w:p w14:paraId="6A3D5DE5">
      <w:pPr>
        <w:pStyle w:val="121"/>
        <w:rPr>
          <w:color w:val="auto"/>
          <w:lang w:val="zh-CN"/>
        </w:rPr>
      </w:pPr>
    </w:p>
    <w:p w14:paraId="3C6EF40A">
      <w:pPr>
        <w:spacing w:line="420" w:lineRule="atLeast"/>
        <w:jc w:val="center"/>
        <w:rPr>
          <w:rFonts w:ascii="宋体" w:cs="宋体"/>
          <w:sz w:val="24"/>
        </w:rPr>
      </w:pPr>
    </w:p>
    <w:p w14:paraId="34C2EB94">
      <w:pPr>
        <w:spacing w:line="400" w:lineRule="exact"/>
        <w:rPr>
          <w:rFonts w:ascii="宋体" w:cs="宋体"/>
          <w:b/>
          <w:sz w:val="24"/>
        </w:rPr>
      </w:pPr>
      <w:r>
        <w:rPr>
          <w:rFonts w:hint="eastAsia" w:ascii="宋体" w:cs="宋体"/>
          <w:b/>
          <w:sz w:val="24"/>
        </w:rPr>
        <w:t>后附法定代表人身份证原件扫描件加盖投标单位公章。</w:t>
      </w:r>
    </w:p>
    <w:p w14:paraId="4E47471A">
      <w:pPr>
        <w:tabs>
          <w:tab w:val="left" w:pos="1080"/>
        </w:tabs>
        <w:autoSpaceDE w:val="0"/>
        <w:autoSpaceDN w:val="0"/>
        <w:adjustRightInd w:val="0"/>
        <w:spacing w:line="460" w:lineRule="atLeast"/>
        <w:jc w:val="left"/>
        <w:rPr>
          <w:rStyle w:val="29"/>
          <w:rFonts w:ascii="宋体" w:eastAsia="宋体" w:cs="宋体"/>
          <w:sz w:val="24"/>
          <w:szCs w:val="24"/>
        </w:rPr>
      </w:pPr>
      <w:r>
        <w:rPr>
          <w:rStyle w:val="29"/>
          <w:rFonts w:hint="eastAsia" w:ascii="宋体" w:eastAsia="宋体" w:cs="宋体"/>
          <w:sz w:val="24"/>
          <w:szCs w:val="24"/>
        </w:rPr>
        <w:t xml:space="preserve">         </w:t>
      </w:r>
    </w:p>
    <w:p w14:paraId="68294C26">
      <w:pPr>
        <w:tabs>
          <w:tab w:val="left" w:pos="1080"/>
        </w:tabs>
        <w:autoSpaceDE w:val="0"/>
        <w:autoSpaceDN w:val="0"/>
        <w:adjustRightInd w:val="0"/>
        <w:spacing w:line="460" w:lineRule="atLeast"/>
        <w:jc w:val="center"/>
        <w:rPr>
          <w:rFonts w:ascii="宋体" w:cs="宋体"/>
          <w:sz w:val="22"/>
          <w:szCs w:val="22"/>
          <w:lang w:val="zh-CN"/>
        </w:rPr>
      </w:pPr>
    </w:p>
    <w:p w14:paraId="268F33C7">
      <w:pPr>
        <w:tabs>
          <w:tab w:val="left" w:pos="1080"/>
        </w:tabs>
        <w:autoSpaceDE w:val="0"/>
        <w:autoSpaceDN w:val="0"/>
        <w:adjustRightInd w:val="0"/>
        <w:spacing w:line="460" w:lineRule="atLeast"/>
        <w:jc w:val="center"/>
        <w:rPr>
          <w:rFonts w:ascii="宋体" w:cs="宋体"/>
          <w:sz w:val="22"/>
          <w:szCs w:val="22"/>
          <w:lang w:val="zh-CN"/>
        </w:rPr>
      </w:pPr>
    </w:p>
    <w:p w14:paraId="5E687058">
      <w:pPr>
        <w:tabs>
          <w:tab w:val="left" w:pos="1080"/>
        </w:tabs>
        <w:autoSpaceDE w:val="0"/>
        <w:autoSpaceDN w:val="0"/>
        <w:adjustRightInd w:val="0"/>
        <w:spacing w:line="460" w:lineRule="atLeast"/>
        <w:jc w:val="center"/>
        <w:rPr>
          <w:rFonts w:ascii="宋体" w:cs="宋体"/>
          <w:sz w:val="36"/>
          <w:szCs w:val="36"/>
          <w:lang w:val="zh-CN"/>
        </w:rPr>
      </w:pPr>
    </w:p>
    <w:p w14:paraId="3ADE93C6">
      <w:pPr>
        <w:tabs>
          <w:tab w:val="left" w:pos="1080"/>
        </w:tabs>
        <w:autoSpaceDE w:val="0"/>
        <w:autoSpaceDN w:val="0"/>
        <w:adjustRightInd w:val="0"/>
        <w:spacing w:line="460" w:lineRule="atLeast"/>
        <w:jc w:val="center"/>
        <w:rPr>
          <w:rFonts w:ascii="宋体" w:cs="宋体"/>
          <w:sz w:val="36"/>
          <w:szCs w:val="36"/>
          <w:lang w:val="zh-CN"/>
        </w:rPr>
      </w:pPr>
    </w:p>
    <w:p w14:paraId="57F3FE4C">
      <w:pPr>
        <w:tabs>
          <w:tab w:val="left" w:pos="1080"/>
        </w:tabs>
        <w:autoSpaceDE w:val="0"/>
        <w:autoSpaceDN w:val="0"/>
        <w:adjustRightInd w:val="0"/>
        <w:spacing w:line="460" w:lineRule="atLeast"/>
        <w:jc w:val="center"/>
        <w:rPr>
          <w:rFonts w:ascii="宋体" w:cs="宋体"/>
          <w:sz w:val="36"/>
          <w:szCs w:val="36"/>
          <w:lang w:val="zh-CN"/>
        </w:rPr>
      </w:pPr>
    </w:p>
    <w:p w14:paraId="5C7491D8">
      <w:pPr>
        <w:tabs>
          <w:tab w:val="left" w:pos="1080"/>
        </w:tabs>
        <w:autoSpaceDE w:val="0"/>
        <w:autoSpaceDN w:val="0"/>
        <w:adjustRightInd w:val="0"/>
        <w:spacing w:line="460" w:lineRule="atLeast"/>
        <w:jc w:val="center"/>
        <w:rPr>
          <w:rFonts w:ascii="宋体" w:cs="宋体"/>
          <w:sz w:val="36"/>
          <w:szCs w:val="36"/>
          <w:lang w:val="zh-CN"/>
        </w:rPr>
      </w:pPr>
    </w:p>
    <w:p w14:paraId="6705BB9D">
      <w:pPr>
        <w:tabs>
          <w:tab w:val="left" w:pos="1080"/>
        </w:tabs>
        <w:autoSpaceDE w:val="0"/>
        <w:autoSpaceDN w:val="0"/>
        <w:adjustRightInd w:val="0"/>
        <w:spacing w:line="460" w:lineRule="atLeast"/>
        <w:jc w:val="center"/>
        <w:rPr>
          <w:rFonts w:ascii="宋体" w:cs="宋体"/>
          <w:sz w:val="36"/>
          <w:szCs w:val="36"/>
          <w:lang w:val="zh-CN"/>
        </w:rPr>
      </w:pPr>
    </w:p>
    <w:p w14:paraId="76765C4B">
      <w:pPr>
        <w:widowControl/>
        <w:jc w:val="left"/>
        <w:rPr>
          <w:lang w:val="zh-CN"/>
        </w:rPr>
      </w:pPr>
      <w:r>
        <w:rPr>
          <w:lang w:val="zh-CN"/>
        </w:rPr>
        <w:br w:type="page"/>
      </w:r>
    </w:p>
    <w:p w14:paraId="3FBE2807">
      <w:pPr>
        <w:snapToGrid w:val="0"/>
        <w:spacing w:line="360" w:lineRule="auto"/>
        <w:jc w:val="center"/>
        <w:rPr>
          <w:rFonts w:ascii="宋体"/>
          <w:b/>
          <w:sz w:val="30"/>
          <w:szCs w:val="30"/>
        </w:rPr>
      </w:pPr>
      <w:r>
        <w:rPr>
          <w:rFonts w:hint="eastAsia" w:ascii="宋体"/>
          <w:b/>
          <w:sz w:val="30"/>
          <w:szCs w:val="30"/>
        </w:rPr>
        <w:t>法定代表人授权委托书</w:t>
      </w:r>
    </w:p>
    <w:p w14:paraId="2CC4116A">
      <w:pPr>
        <w:snapToGrid w:val="0"/>
        <w:spacing w:line="580" w:lineRule="atLeast"/>
        <w:rPr>
          <w:rFonts w:ascii="宋体" w:cs="宋体"/>
          <w:sz w:val="24"/>
          <w:u w:val="single"/>
          <w:lang w:val="zh-CN"/>
        </w:rPr>
      </w:pPr>
      <w:r>
        <w:rPr>
          <w:rFonts w:hint="eastAsia" w:ascii="宋体" w:cs="宋体"/>
          <w:sz w:val="24"/>
          <w:u w:val="single"/>
        </w:rPr>
        <w:t>（采购人）、（采购代理机构）</w:t>
      </w:r>
      <w:r>
        <w:rPr>
          <w:rFonts w:hint="eastAsia" w:ascii="宋体" w:cs="宋体"/>
          <w:sz w:val="24"/>
          <w:u w:val="single"/>
          <w:lang w:val="zh-CN"/>
        </w:rPr>
        <w:t>：</w:t>
      </w:r>
    </w:p>
    <w:p w14:paraId="67FB5727">
      <w:pPr>
        <w:snapToGrid w:val="0"/>
        <w:spacing w:line="580" w:lineRule="atLeast"/>
        <w:ind w:firstLine="480" w:firstLineChars="200"/>
        <w:rPr>
          <w:rFonts w:ascii="宋体" w:cs="宋体"/>
          <w:sz w:val="24"/>
        </w:rPr>
      </w:pPr>
      <w:r>
        <w:rPr>
          <w:rFonts w:hint="eastAsia" w:ascii="宋体" w:cs="宋体"/>
          <w:sz w:val="24"/>
        </w:rPr>
        <w:t>本授权委托书声明：我</w:t>
      </w:r>
      <w:r>
        <w:rPr>
          <w:rFonts w:hint="eastAsia" w:ascii="宋体" w:cs="宋体"/>
          <w:sz w:val="24"/>
          <w:u w:val="single"/>
        </w:rPr>
        <w:t xml:space="preserve">   （法定代表人姓名）   </w:t>
      </w:r>
      <w:r>
        <w:rPr>
          <w:rFonts w:hint="eastAsia" w:ascii="宋体" w:cs="宋体"/>
          <w:sz w:val="24"/>
        </w:rPr>
        <w:t>系</w:t>
      </w:r>
      <w:r>
        <w:rPr>
          <w:rFonts w:hint="eastAsia" w:ascii="宋体" w:cs="宋体"/>
          <w:sz w:val="24"/>
          <w:u w:val="single"/>
        </w:rPr>
        <w:t xml:space="preserve">   （供 应 商 名 称）  </w:t>
      </w:r>
      <w:r>
        <w:rPr>
          <w:rFonts w:hint="eastAsia" w:ascii="宋体" w:cs="宋体"/>
          <w:sz w:val="24"/>
        </w:rPr>
        <w:t>的法定代表人，现授权委托</w:t>
      </w:r>
      <w:r>
        <w:rPr>
          <w:rFonts w:hint="eastAsia" w:ascii="宋体" w:cs="宋体"/>
          <w:sz w:val="24"/>
          <w:u w:val="single"/>
        </w:rPr>
        <w:t xml:space="preserve">  （单 位 名 称）   </w:t>
      </w:r>
      <w:r>
        <w:rPr>
          <w:rFonts w:hint="eastAsia" w:ascii="宋体" w:cs="宋体"/>
          <w:sz w:val="24"/>
        </w:rPr>
        <w:t>的</w:t>
      </w:r>
      <w:r>
        <w:rPr>
          <w:rFonts w:hint="eastAsia" w:ascii="宋体" w:cs="宋体"/>
          <w:sz w:val="24"/>
          <w:u w:val="single"/>
        </w:rPr>
        <w:t xml:space="preserve">  （授权代表姓名）  </w:t>
      </w:r>
      <w:r>
        <w:rPr>
          <w:rFonts w:hint="eastAsia" w:ascii="宋体" w:cs="宋体"/>
          <w:sz w:val="24"/>
        </w:rPr>
        <w:t>为我公司法定代表人授权代表，参加贵处组织的</w:t>
      </w:r>
      <w:r>
        <w:rPr>
          <w:rFonts w:hint="eastAsia" w:ascii="宋体" w:cs="宋体"/>
          <w:sz w:val="24"/>
          <w:u w:val="single"/>
        </w:rPr>
        <w:t xml:space="preserve">  （招标项目名称，项目编号）  </w:t>
      </w:r>
      <w:r>
        <w:rPr>
          <w:rFonts w:hint="eastAsia" w:ascii="宋体" w:cs="宋体"/>
          <w:sz w:val="24"/>
        </w:rPr>
        <w:t>项目投标，全权处理本次招投标活动中的一切事宜，我承认授权代表全权代表我所签署的本项目的投标文件的内容。</w:t>
      </w:r>
    </w:p>
    <w:p w14:paraId="77301A47">
      <w:pPr>
        <w:snapToGrid w:val="0"/>
        <w:spacing w:line="580" w:lineRule="atLeast"/>
        <w:ind w:firstLine="480" w:firstLineChars="200"/>
        <w:rPr>
          <w:rFonts w:ascii="宋体" w:cs="宋体"/>
          <w:sz w:val="24"/>
        </w:rPr>
      </w:pPr>
      <w:r>
        <w:rPr>
          <w:rFonts w:hint="eastAsia" w:ascii="宋体" w:cs="宋体"/>
          <w:sz w:val="24"/>
        </w:rPr>
        <w:t>授权代表无转授权，特此授权。</w:t>
      </w:r>
    </w:p>
    <w:p w14:paraId="11A18815">
      <w:pPr>
        <w:snapToGrid w:val="0"/>
        <w:spacing w:line="580" w:lineRule="atLeast"/>
        <w:ind w:left="1260"/>
        <w:rPr>
          <w:rFonts w:ascii="宋体" w:cs="宋体"/>
          <w:sz w:val="24"/>
        </w:rPr>
      </w:pPr>
    </w:p>
    <w:p w14:paraId="26F769DD">
      <w:pPr>
        <w:snapToGrid w:val="0"/>
        <w:spacing w:line="580" w:lineRule="atLeast"/>
        <w:rPr>
          <w:rFonts w:ascii="宋体" w:cs="宋体"/>
          <w:sz w:val="24"/>
          <w:u w:val="single"/>
        </w:rPr>
      </w:pPr>
      <w:r>
        <w:rPr>
          <w:rFonts w:hint="eastAsia" w:ascii="宋体" w:cs="宋体"/>
          <w:sz w:val="24"/>
        </w:rPr>
        <w:t>授权代表：</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性别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年龄：</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12F2845B">
      <w:pPr>
        <w:snapToGrid w:val="0"/>
        <w:spacing w:line="580" w:lineRule="atLeast"/>
        <w:rPr>
          <w:rFonts w:ascii="宋体" w:cs="宋体"/>
          <w:sz w:val="24"/>
          <w:u w:val="single"/>
        </w:rPr>
      </w:pPr>
      <w:r>
        <w:rPr>
          <w:rFonts w:hint="eastAsia" w:ascii="宋体" w:cs="宋体"/>
          <w:sz w:val="24"/>
        </w:rPr>
        <w:t>详细通讯地址：</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邮政编码：</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2DC5CB5E">
      <w:pPr>
        <w:snapToGrid w:val="0"/>
        <w:spacing w:line="580" w:lineRule="atLeast"/>
        <w:rPr>
          <w:rFonts w:ascii="宋体" w:cs="宋体"/>
          <w:sz w:val="24"/>
          <w:u w:val="single"/>
        </w:rPr>
      </w:pPr>
      <w:r>
        <w:rPr>
          <w:rFonts w:hint="eastAsia" w:ascii="宋体" w:cs="宋体"/>
          <w:sz w:val="24"/>
        </w:rPr>
        <w:t>电话：</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传真：</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66F3C6C8">
      <w:pPr>
        <w:snapToGrid w:val="0"/>
        <w:spacing w:line="580" w:lineRule="atLeast"/>
        <w:rPr>
          <w:rFonts w:ascii="宋体" w:cs="宋体"/>
          <w:sz w:val="24"/>
          <w:u w:val="single"/>
        </w:rPr>
      </w:pPr>
      <w:r>
        <w:rPr>
          <w:rFonts w:hint="eastAsia" w:ascii="宋体" w:cs="宋体"/>
          <w:sz w:val="24"/>
        </w:rPr>
        <w:t>投标供应商：</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406E6E95">
      <w:pPr>
        <w:snapToGrid w:val="0"/>
        <w:spacing w:line="580" w:lineRule="atLeast"/>
        <w:ind w:right="440"/>
        <w:rPr>
          <w:rFonts w:ascii="宋体" w:cs="宋体"/>
          <w:sz w:val="24"/>
          <w:u w:val="single"/>
        </w:rPr>
      </w:pPr>
      <w:r>
        <w:rPr>
          <w:rFonts w:hint="eastAsia" w:ascii="宋体" w:cs="宋体"/>
          <w:sz w:val="24"/>
        </w:rPr>
        <w:t>法定代表人：</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5A9D85CD">
      <w:pPr>
        <w:snapToGrid w:val="0"/>
        <w:spacing w:line="580" w:lineRule="atLeast"/>
        <w:ind w:right="440"/>
        <w:rPr>
          <w:rFonts w:ascii="宋体" w:cs="宋体"/>
          <w:sz w:val="24"/>
        </w:rPr>
      </w:pPr>
      <w:r>
        <w:rPr>
          <w:rFonts w:hint="eastAsia" w:cs="宋体"/>
          <w:sz w:val="24"/>
        </w:rPr>
        <w:t>授权委托日期：</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 xml:space="preserve">年 </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月</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日</w:t>
      </w:r>
    </w:p>
    <w:p w14:paraId="7E2C0455">
      <w:pPr>
        <w:pStyle w:val="15"/>
        <w:rPr>
          <w:rFonts w:cs="宋体"/>
          <w:sz w:val="22"/>
          <w:szCs w:val="22"/>
        </w:rPr>
      </w:pPr>
    </w:p>
    <w:p w14:paraId="2820E6DC">
      <w:pPr>
        <w:rPr>
          <w:rFonts w:ascii="宋体" w:cs="宋体"/>
        </w:rPr>
      </w:pPr>
    </w:p>
    <w:tbl>
      <w:tblPr>
        <w:tblStyle w:val="23"/>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481B6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noWrap/>
            <w:vAlign w:val="center"/>
          </w:tcPr>
          <w:p w14:paraId="4FE72F68">
            <w:pPr>
              <w:pStyle w:val="14"/>
              <w:spacing w:line="440" w:lineRule="atLeast"/>
              <w:jc w:val="center"/>
              <w:rPr>
                <w:rFonts w:cs="宋体"/>
                <w:sz w:val="36"/>
                <w:szCs w:val="22"/>
              </w:rPr>
            </w:pPr>
            <w:r>
              <w:rPr>
                <w:rFonts w:hint="eastAsia" w:cs="宋体"/>
                <w:sz w:val="36"/>
                <w:szCs w:val="22"/>
              </w:rPr>
              <w:t>粘贴法定代表人身份证原件扫描件</w:t>
            </w:r>
          </w:p>
        </w:tc>
      </w:tr>
    </w:tbl>
    <w:p w14:paraId="1CB7E902">
      <w:pPr>
        <w:pStyle w:val="14"/>
        <w:snapToGrid w:val="0"/>
        <w:spacing w:line="580" w:lineRule="atLeast"/>
        <w:jc w:val="center"/>
        <w:rPr>
          <w:rFonts w:cs="宋体"/>
          <w:sz w:val="22"/>
          <w:szCs w:val="22"/>
        </w:rPr>
      </w:pPr>
    </w:p>
    <w:p w14:paraId="778CA4B9">
      <w:pPr>
        <w:pStyle w:val="14"/>
        <w:snapToGrid w:val="0"/>
        <w:spacing w:line="580" w:lineRule="atLeast"/>
        <w:rPr>
          <w:rFonts w:cs="宋体"/>
          <w:sz w:val="22"/>
          <w:szCs w:val="22"/>
          <w:u w:val="thick"/>
        </w:rPr>
      </w:pPr>
    </w:p>
    <w:p w14:paraId="7CF3B3AE">
      <w:pPr>
        <w:pStyle w:val="14"/>
        <w:snapToGrid w:val="0"/>
        <w:spacing w:line="580" w:lineRule="atLeast"/>
        <w:rPr>
          <w:rFonts w:cs="宋体"/>
          <w:sz w:val="22"/>
          <w:szCs w:val="22"/>
          <w:u w:val="thick"/>
        </w:rPr>
      </w:pPr>
    </w:p>
    <w:p w14:paraId="4B3C6F10">
      <w:pPr>
        <w:pStyle w:val="14"/>
        <w:snapToGrid w:val="0"/>
        <w:spacing w:line="580" w:lineRule="atLeast"/>
        <w:rPr>
          <w:rFonts w:cs="宋体"/>
          <w:sz w:val="22"/>
          <w:szCs w:val="22"/>
          <w:u w:val="thick"/>
        </w:rPr>
      </w:pPr>
    </w:p>
    <w:tbl>
      <w:tblPr>
        <w:tblStyle w:val="23"/>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90C9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noWrap/>
            <w:vAlign w:val="center"/>
          </w:tcPr>
          <w:p w14:paraId="67AAF3FE">
            <w:pPr>
              <w:pStyle w:val="14"/>
              <w:spacing w:line="440" w:lineRule="atLeast"/>
              <w:jc w:val="center"/>
              <w:rPr>
                <w:rFonts w:cs="宋体"/>
                <w:sz w:val="36"/>
                <w:szCs w:val="22"/>
              </w:rPr>
            </w:pPr>
            <w:r>
              <w:rPr>
                <w:rFonts w:hint="eastAsia" w:cs="宋体"/>
                <w:sz w:val="36"/>
                <w:szCs w:val="22"/>
              </w:rPr>
              <w:t>粘贴授权代表身份证原件扫描件</w:t>
            </w:r>
          </w:p>
        </w:tc>
      </w:tr>
    </w:tbl>
    <w:p w14:paraId="241CDC9D">
      <w:pPr>
        <w:snapToGrid w:val="0"/>
        <w:spacing w:line="500" w:lineRule="exact"/>
        <w:ind w:firstLine="480"/>
        <w:jc w:val="center"/>
        <w:rPr>
          <w:rStyle w:val="29"/>
          <w:rFonts w:ascii="宋体" w:eastAsia="宋体" w:cs="宋体"/>
          <w:sz w:val="24"/>
          <w:szCs w:val="24"/>
        </w:rPr>
      </w:pPr>
    </w:p>
    <w:p w14:paraId="0570F0A9">
      <w:pPr>
        <w:snapToGrid w:val="0"/>
        <w:spacing w:line="500" w:lineRule="exact"/>
        <w:ind w:firstLine="480"/>
        <w:jc w:val="center"/>
        <w:rPr>
          <w:rFonts w:ascii="宋体" w:cs="宋体"/>
          <w:b/>
          <w:kern w:val="0"/>
          <w:sz w:val="32"/>
          <w:szCs w:val="32"/>
          <w:lang w:val="zh-CN"/>
        </w:rPr>
      </w:pPr>
    </w:p>
    <w:p w14:paraId="26339146">
      <w:pPr>
        <w:snapToGrid w:val="0"/>
        <w:spacing w:line="500" w:lineRule="exact"/>
        <w:ind w:firstLine="480"/>
        <w:jc w:val="center"/>
        <w:rPr>
          <w:rFonts w:ascii="宋体" w:cs="宋体"/>
          <w:b/>
          <w:kern w:val="0"/>
          <w:sz w:val="32"/>
          <w:szCs w:val="32"/>
          <w:lang w:val="zh-CN"/>
        </w:rPr>
      </w:pPr>
    </w:p>
    <w:p w14:paraId="318610CC">
      <w:pPr>
        <w:snapToGrid w:val="0"/>
        <w:spacing w:line="500" w:lineRule="exact"/>
        <w:ind w:firstLine="480"/>
        <w:jc w:val="center"/>
        <w:rPr>
          <w:rFonts w:ascii="宋体" w:cs="宋体"/>
          <w:b/>
          <w:kern w:val="0"/>
          <w:sz w:val="32"/>
          <w:szCs w:val="32"/>
          <w:lang w:val="zh-CN"/>
        </w:rPr>
      </w:pPr>
    </w:p>
    <w:p w14:paraId="39E73E5B">
      <w:pPr>
        <w:widowControl/>
        <w:jc w:val="left"/>
        <w:rPr>
          <w:rFonts w:ascii="宋体"/>
          <w:b/>
          <w:snapToGrid w:val="0"/>
          <w:kern w:val="0"/>
          <w:szCs w:val="21"/>
        </w:rPr>
      </w:pPr>
      <w:r>
        <w:rPr>
          <w:rFonts w:ascii="宋体"/>
          <w:b/>
          <w:snapToGrid w:val="0"/>
          <w:kern w:val="0"/>
          <w:szCs w:val="21"/>
        </w:rPr>
        <w:br w:type="page"/>
      </w:r>
    </w:p>
    <w:p w14:paraId="1ED8F2C5">
      <w:pPr>
        <w:snapToGrid w:val="0"/>
        <w:spacing w:line="360" w:lineRule="auto"/>
        <w:jc w:val="center"/>
        <w:rPr>
          <w:rFonts w:ascii="宋体" w:cs="宋体"/>
          <w:szCs w:val="21"/>
        </w:rPr>
      </w:pPr>
      <w:r>
        <w:rPr>
          <w:rFonts w:hint="eastAsia" w:ascii="宋体"/>
          <w:b/>
          <w:sz w:val="30"/>
          <w:szCs w:val="30"/>
        </w:rPr>
        <w:t>投标声明书</w:t>
      </w:r>
    </w:p>
    <w:p w14:paraId="6EC123B7">
      <w:pPr>
        <w:snapToGrid w:val="0"/>
        <w:spacing w:line="500" w:lineRule="exact"/>
        <w:rPr>
          <w:rFonts w:ascii="宋体" w:cs="宋体"/>
          <w:sz w:val="24"/>
          <w:u w:val="single"/>
        </w:rPr>
      </w:pPr>
      <w:r>
        <w:rPr>
          <w:rFonts w:hint="eastAsia" w:ascii="宋体" w:cs="宋体"/>
          <w:sz w:val="24"/>
          <w:u w:val="single"/>
        </w:rPr>
        <w:t>（采购人）、（采购代理机构） ：</w:t>
      </w:r>
    </w:p>
    <w:p w14:paraId="18F44565">
      <w:pPr>
        <w:snapToGrid w:val="0"/>
        <w:spacing w:line="500" w:lineRule="exact"/>
        <w:ind w:firstLine="480" w:firstLineChars="200"/>
        <w:rPr>
          <w:rFonts w:ascii="宋体" w:cs="宋体"/>
          <w:sz w:val="24"/>
        </w:rPr>
      </w:pPr>
      <w:r>
        <w:rPr>
          <w:rFonts w:hint="eastAsia" w:ascii="宋体" w:cs="宋体"/>
          <w:sz w:val="24"/>
        </w:rPr>
        <w:t>根据贵方</w:t>
      </w:r>
      <w:r>
        <w:rPr>
          <w:rFonts w:hint="eastAsia" w:ascii="宋体" w:cs="宋体"/>
          <w:sz w:val="24"/>
          <w:u w:val="single"/>
        </w:rPr>
        <w:t xml:space="preserve">                             （项目编号：               ）</w:t>
      </w:r>
      <w:r>
        <w:rPr>
          <w:rFonts w:hint="eastAsia" w:ascii="宋体" w:cs="宋体"/>
          <w:sz w:val="24"/>
        </w:rPr>
        <w:t>的采购公告，我方提交的投标文件，宣布同意如下：</w:t>
      </w:r>
    </w:p>
    <w:p w14:paraId="03655F94">
      <w:pPr>
        <w:pStyle w:val="14"/>
        <w:spacing w:line="500" w:lineRule="exact"/>
        <w:ind w:firstLine="480" w:firstLineChars="200"/>
        <w:rPr>
          <w:rFonts w:cs="宋体"/>
          <w:sz w:val="24"/>
          <w:szCs w:val="24"/>
        </w:rPr>
      </w:pPr>
      <w:r>
        <w:rPr>
          <w:rFonts w:hint="eastAsia" w:cs="宋体"/>
          <w:sz w:val="24"/>
          <w:szCs w:val="24"/>
        </w:rPr>
        <w:t>1.我方向贵方提交的所有投标文件、资料都是准确的和真实的。</w:t>
      </w:r>
    </w:p>
    <w:p w14:paraId="6E53CD5F">
      <w:pPr>
        <w:snapToGrid w:val="0"/>
        <w:spacing w:line="500" w:lineRule="exact"/>
        <w:ind w:firstLine="480" w:firstLineChars="200"/>
        <w:rPr>
          <w:rFonts w:ascii="宋体" w:cs="宋体"/>
          <w:sz w:val="24"/>
        </w:rPr>
      </w:pPr>
      <w:r>
        <w:rPr>
          <w:rFonts w:hint="eastAsia" w:ascii="宋体" w:cs="宋体"/>
          <w:sz w:val="24"/>
        </w:rPr>
        <w:t>2.我方已详细审查全部“招标文件”，包括修改文件（如有的话）以及全部参考资料和有关附件，已经了解我方对于招标文件、采购过程、采购结果有依法进行询问、质疑、投诉的权利及相关渠道和要求。</w:t>
      </w:r>
    </w:p>
    <w:p w14:paraId="4337917B">
      <w:pPr>
        <w:snapToGrid w:val="0"/>
        <w:spacing w:line="500" w:lineRule="exact"/>
        <w:ind w:firstLine="480" w:firstLineChars="200"/>
        <w:rPr>
          <w:rFonts w:ascii="宋体" w:cs="宋体"/>
          <w:sz w:val="24"/>
        </w:rPr>
      </w:pPr>
      <w:r>
        <w:rPr>
          <w:rFonts w:hint="eastAsia" w:ascii="宋体" w:cs="宋体"/>
          <w:sz w:val="24"/>
        </w:rPr>
        <w:t>3.我方在投标之前已经与贵方进行了充分的沟通，完全理解并接受招标文件的各项规定和要求，对招标文件的合理性、合法性不再有异议。</w:t>
      </w:r>
    </w:p>
    <w:p w14:paraId="1EB816A2">
      <w:pPr>
        <w:snapToGrid w:val="0"/>
        <w:spacing w:line="500" w:lineRule="exact"/>
        <w:ind w:firstLine="480" w:firstLineChars="200"/>
        <w:rPr>
          <w:rFonts w:ascii="宋体" w:cs="宋体"/>
          <w:sz w:val="24"/>
        </w:rPr>
      </w:pPr>
      <w:r>
        <w:rPr>
          <w:rFonts w:hint="eastAsia" w:ascii="宋体" w:cs="宋体"/>
          <w:sz w:val="24"/>
        </w:rPr>
        <w:t>4.本投标有效期自开标日起90日。</w:t>
      </w:r>
    </w:p>
    <w:p w14:paraId="4996BCA4">
      <w:pPr>
        <w:snapToGrid w:val="0"/>
        <w:spacing w:line="500" w:lineRule="exact"/>
        <w:ind w:firstLine="480" w:firstLineChars="200"/>
        <w:rPr>
          <w:rFonts w:ascii="宋体" w:cs="宋体"/>
          <w:sz w:val="24"/>
        </w:rPr>
      </w:pPr>
      <w:r>
        <w:rPr>
          <w:rFonts w:hint="eastAsia" w:ascii="宋体" w:cs="宋体"/>
          <w:sz w:val="24"/>
        </w:rPr>
        <w:t>5.如中标，本投标文件至本项目合同履行完毕止均保持有效，本投标人将按“招标文件”及相关采购法律、法规的规定履行合同责任和义务。</w:t>
      </w:r>
    </w:p>
    <w:p w14:paraId="4556ABE1">
      <w:pPr>
        <w:snapToGrid w:val="0"/>
        <w:spacing w:line="500" w:lineRule="exact"/>
        <w:ind w:firstLine="480" w:firstLineChars="200"/>
        <w:rPr>
          <w:rFonts w:ascii="宋体" w:cs="宋体"/>
          <w:sz w:val="24"/>
        </w:rPr>
      </w:pPr>
      <w:r>
        <w:rPr>
          <w:rFonts w:hint="eastAsia" w:ascii="宋体" w:cs="宋体"/>
          <w:sz w:val="24"/>
        </w:rPr>
        <w:t>6.我方同意按照贵方要求提供与投标有关的一切数据或资料。</w:t>
      </w:r>
    </w:p>
    <w:p w14:paraId="3E909DFB">
      <w:pPr>
        <w:snapToGrid w:val="0"/>
        <w:spacing w:line="500" w:lineRule="exact"/>
        <w:ind w:firstLine="480" w:firstLineChars="200"/>
        <w:rPr>
          <w:rFonts w:ascii="宋体" w:cs="宋体"/>
          <w:sz w:val="24"/>
        </w:rPr>
      </w:pPr>
      <w:r>
        <w:rPr>
          <w:rFonts w:hint="eastAsia" w:ascii="宋体" w:cs="宋体"/>
          <w:sz w:val="24"/>
        </w:rPr>
        <w:t>7.与本投标有关的一切正式往来信函请寄：</w:t>
      </w:r>
    </w:p>
    <w:p w14:paraId="26464184">
      <w:pPr>
        <w:snapToGrid w:val="0"/>
        <w:spacing w:line="500" w:lineRule="exact"/>
        <w:ind w:firstLine="480" w:firstLineChars="200"/>
        <w:rPr>
          <w:rFonts w:ascii="宋体" w:cs="宋体"/>
          <w:sz w:val="24"/>
        </w:rPr>
      </w:pPr>
      <w:r>
        <w:rPr>
          <w:rFonts w:hint="eastAsia" w:ascii="宋体" w:cs="宋体"/>
          <w:sz w:val="24"/>
        </w:rPr>
        <w:t>地址：__________邮编：__________电话：______________</w:t>
      </w:r>
    </w:p>
    <w:p w14:paraId="6D9658EA">
      <w:pPr>
        <w:snapToGrid w:val="0"/>
        <w:spacing w:line="500" w:lineRule="exact"/>
        <w:ind w:firstLine="480" w:firstLineChars="200"/>
        <w:rPr>
          <w:rFonts w:ascii="宋体" w:cs="宋体"/>
          <w:sz w:val="24"/>
        </w:rPr>
      </w:pPr>
      <w:r>
        <w:rPr>
          <w:rFonts w:hint="eastAsia" w:ascii="宋体" w:cs="宋体"/>
          <w:sz w:val="24"/>
        </w:rPr>
        <w:t>传真：______________投标人代表姓名_______职务：_____________</w:t>
      </w:r>
    </w:p>
    <w:p w14:paraId="423D97B6">
      <w:pPr>
        <w:snapToGrid w:val="0"/>
        <w:spacing w:line="500" w:lineRule="exact"/>
        <w:ind w:firstLine="480" w:firstLineChars="200"/>
        <w:rPr>
          <w:rFonts w:ascii="宋体" w:cs="宋体"/>
          <w:sz w:val="24"/>
        </w:rPr>
      </w:pPr>
      <w:r>
        <w:rPr>
          <w:rFonts w:hint="eastAsia" w:ascii="宋体" w:cs="宋体"/>
          <w:sz w:val="24"/>
        </w:rPr>
        <w:t>投标人名称(盖章):___________________</w:t>
      </w:r>
    </w:p>
    <w:p w14:paraId="7B5B63F0">
      <w:pPr>
        <w:snapToGrid w:val="0"/>
        <w:spacing w:line="500" w:lineRule="exact"/>
        <w:ind w:firstLine="480" w:firstLineChars="200"/>
        <w:rPr>
          <w:rFonts w:ascii="宋体" w:cs="宋体"/>
          <w:sz w:val="24"/>
          <w:u w:val="single"/>
        </w:rPr>
      </w:pPr>
      <w:r>
        <w:rPr>
          <w:rFonts w:hint="eastAsia" w:ascii="宋体" w:cs="宋体"/>
          <w:sz w:val="24"/>
        </w:rPr>
        <w:t>开户银行：</w:t>
      </w:r>
      <w:r>
        <w:rPr>
          <w:rFonts w:hint="eastAsia" w:ascii="宋体" w:cs="宋体"/>
          <w:sz w:val="24"/>
          <w:u w:val="single"/>
        </w:rPr>
        <w:t xml:space="preserve">             </w:t>
      </w:r>
      <w:r>
        <w:rPr>
          <w:rFonts w:hint="eastAsia" w:ascii="宋体" w:cs="宋体"/>
          <w:sz w:val="24"/>
        </w:rPr>
        <w:t>银行账号：</w:t>
      </w:r>
      <w:r>
        <w:rPr>
          <w:rFonts w:hint="eastAsia" w:ascii="宋体" w:cs="宋体"/>
          <w:sz w:val="24"/>
          <w:u w:val="single"/>
        </w:rPr>
        <w:t xml:space="preserve">             </w:t>
      </w:r>
    </w:p>
    <w:p w14:paraId="2E6141AC">
      <w:pPr>
        <w:snapToGrid w:val="0"/>
        <w:spacing w:line="500" w:lineRule="exact"/>
        <w:ind w:firstLine="480" w:firstLineChars="200"/>
        <w:rPr>
          <w:rFonts w:ascii="宋体" w:cs="宋体"/>
          <w:sz w:val="24"/>
        </w:rPr>
      </w:pPr>
      <w:r>
        <w:rPr>
          <w:rFonts w:hint="eastAsia" w:ascii="宋体" w:cs="宋体"/>
          <w:sz w:val="24"/>
        </w:rPr>
        <w:t>法定代表人（盖章）___________</w:t>
      </w:r>
    </w:p>
    <w:p w14:paraId="63AB8AA7">
      <w:pPr>
        <w:snapToGrid w:val="0"/>
        <w:spacing w:line="500" w:lineRule="exact"/>
        <w:ind w:firstLine="480" w:firstLineChars="200"/>
        <w:rPr>
          <w:rFonts w:ascii="宋体" w:cs="宋体"/>
          <w:sz w:val="24"/>
        </w:rPr>
      </w:pPr>
      <w:r>
        <w:rPr>
          <w:rFonts w:hint="eastAsia" w:ascii="宋体" w:cs="宋体"/>
          <w:sz w:val="24"/>
        </w:rPr>
        <w:t>日期:_____年___月___日</w:t>
      </w:r>
    </w:p>
    <w:p w14:paraId="69B93CBA">
      <w:pPr>
        <w:pStyle w:val="11"/>
      </w:pPr>
      <w:r>
        <w:br w:type="page"/>
      </w:r>
    </w:p>
    <w:p w14:paraId="1253E563">
      <w:pPr>
        <w:snapToGrid w:val="0"/>
        <w:spacing w:line="360" w:lineRule="auto"/>
        <w:jc w:val="center"/>
      </w:pPr>
      <w:r>
        <w:rPr>
          <w:rFonts w:hint="eastAsia" w:ascii="宋体"/>
          <w:b/>
          <w:sz w:val="30"/>
          <w:szCs w:val="30"/>
        </w:rPr>
        <w:t>供应商（服务商）承诺书</w:t>
      </w:r>
    </w:p>
    <w:p w14:paraId="7046FC80">
      <w:pPr>
        <w:pStyle w:val="111"/>
        <w:adjustRightInd w:val="0"/>
        <w:snapToGrid w:val="0"/>
        <w:spacing w:line="360" w:lineRule="auto"/>
        <w:ind w:left="0" w:firstLine="504" w:firstLineChars="200"/>
        <w:rPr>
          <w:spacing w:val="6"/>
          <w:sz w:val="24"/>
          <w:szCs w:val="24"/>
        </w:rPr>
      </w:pPr>
      <w:r>
        <w:rPr>
          <w:spacing w:val="6"/>
          <w:sz w:val="24"/>
          <w:szCs w:val="24"/>
        </w:rPr>
        <w:t>本人经由</w:t>
      </w:r>
      <w:r>
        <w:rPr>
          <w:spacing w:val="6"/>
          <w:sz w:val="24"/>
          <w:szCs w:val="24"/>
          <w:u w:val="single"/>
        </w:rPr>
        <w:t xml:space="preserve">                     （单位）</w:t>
      </w:r>
      <w:r>
        <w:rPr>
          <w:rFonts w:hint="eastAsia"/>
          <w:spacing w:val="6"/>
          <w:sz w:val="24"/>
          <w:szCs w:val="24"/>
        </w:rPr>
        <w:t>法人</w:t>
      </w:r>
      <w:r>
        <w:rPr>
          <w:spacing w:val="6"/>
          <w:sz w:val="24"/>
          <w:szCs w:val="24"/>
          <w:u w:val="single"/>
        </w:rPr>
        <w:t xml:space="preserve">      （姓名）</w:t>
      </w:r>
      <w:r>
        <w:rPr>
          <w:spacing w:val="6"/>
          <w:sz w:val="24"/>
          <w:szCs w:val="24"/>
        </w:rPr>
        <w:t>合法授权参加项目</w:t>
      </w:r>
      <w:r>
        <w:rPr>
          <w:rFonts w:hint="eastAsia"/>
          <w:spacing w:val="6"/>
          <w:sz w:val="24"/>
          <w:szCs w:val="24"/>
        </w:rPr>
        <w:t>的招标</w:t>
      </w:r>
      <w:r>
        <w:rPr>
          <w:spacing w:val="6"/>
          <w:sz w:val="24"/>
          <w:szCs w:val="24"/>
        </w:rPr>
        <w:t>活动，经与本单位法人代表（负责人）确认，现就有关公平竞争事项郑重</w:t>
      </w:r>
      <w:r>
        <w:rPr>
          <w:rFonts w:hint="eastAsia"/>
          <w:spacing w:val="6"/>
          <w:sz w:val="24"/>
          <w:szCs w:val="24"/>
        </w:rPr>
        <w:t>承诺</w:t>
      </w:r>
      <w:r>
        <w:rPr>
          <w:spacing w:val="6"/>
          <w:sz w:val="24"/>
          <w:szCs w:val="24"/>
        </w:rPr>
        <w:t xml:space="preserve">如下： </w:t>
      </w:r>
    </w:p>
    <w:p w14:paraId="5671A3EE">
      <w:pPr>
        <w:pStyle w:val="111"/>
        <w:numPr>
          <w:ilvl w:val="0"/>
          <w:numId w:val="9"/>
        </w:numPr>
        <w:adjustRightInd w:val="0"/>
        <w:snapToGrid w:val="0"/>
        <w:spacing w:line="360" w:lineRule="auto"/>
        <w:ind w:left="0" w:firstLine="407" w:firstLineChars="169"/>
        <w:rPr>
          <w:kern w:val="0"/>
          <w:sz w:val="24"/>
          <w:szCs w:val="24"/>
        </w:rPr>
      </w:pPr>
      <w:r>
        <w:rPr>
          <w:rFonts w:hint="eastAsia"/>
          <w:b/>
          <w:kern w:val="0"/>
          <w:sz w:val="24"/>
          <w:szCs w:val="24"/>
        </w:rPr>
        <w:t>本单位承诺不存在与关联关系的企业共同参与本次招标活动，所述的关联关系是具有以下情形之一：</w:t>
      </w:r>
    </w:p>
    <w:p w14:paraId="401834C7">
      <w:pPr>
        <w:pStyle w:val="111"/>
        <w:widowControl w:val="0"/>
        <w:adjustRightInd w:val="0"/>
        <w:snapToGrid w:val="0"/>
        <w:spacing w:line="360" w:lineRule="auto"/>
        <w:ind w:firstLine="405" w:firstLineChars="169"/>
        <w:jc w:val="both"/>
        <w:rPr>
          <w:kern w:val="0"/>
          <w:sz w:val="24"/>
          <w:szCs w:val="24"/>
        </w:rPr>
      </w:pPr>
      <w:r>
        <w:rPr>
          <w:kern w:val="0"/>
          <w:sz w:val="24"/>
          <w:szCs w:val="24"/>
        </w:rPr>
        <w:t>A.法定代表人或负责人或实际控制人是同一人</w:t>
      </w:r>
    </w:p>
    <w:p w14:paraId="26575F8F">
      <w:pPr>
        <w:pStyle w:val="111"/>
        <w:widowControl w:val="0"/>
        <w:adjustRightInd w:val="0"/>
        <w:snapToGrid w:val="0"/>
        <w:spacing w:line="360" w:lineRule="auto"/>
        <w:ind w:firstLine="405" w:firstLineChars="169"/>
        <w:jc w:val="both"/>
        <w:rPr>
          <w:spacing w:val="6"/>
          <w:sz w:val="24"/>
          <w:szCs w:val="24"/>
        </w:rPr>
      </w:pPr>
      <w:r>
        <w:rPr>
          <w:kern w:val="0"/>
          <w:sz w:val="24"/>
          <w:szCs w:val="24"/>
        </w:rPr>
        <w:t>B.法定代表人或负责人或实际控制人是夫妻关系</w:t>
      </w:r>
    </w:p>
    <w:p w14:paraId="1FF5672F">
      <w:pPr>
        <w:pStyle w:val="111"/>
        <w:widowControl w:val="0"/>
        <w:adjustRightInd w:val="0"/>
        <w:snapToGrid w:val="0"/>
        <w:spacing w:line="360" w:lineRule="auto"/>
        <w:ind w:firstLine="405" w:firstLineChars="169"/>
        <w:jc w:val="both"/>
        <w:rPr>
          <w:spacing w:val="6"/>
          <w:sz w:val="24"/>
          <w:szCs w:val="24"/>
        </w:rPr>
      </w:pPr>
      <w:r>
        <w:rPr>
          <w:kern w:val="0"/>
          <w:sz w:val="24"/>
          <w:szCs w:val="24"/>
        </w:rPr>
        <w:t>C.法定代表人或负责人或实际控制人是直系血亲关系</w:t>
      </w:r>
    </w:p>
    <w:p w14:paraId="3A09056B">
      <w:pPr>
        <w:pStyle w:val="111"/>
        <w:widowControl w:val="0"/>
        <w:adjustRightInd w:val="0"/>
        <w:snapToGrid w:val="0"/>
        <w:spacing w:line="360" w:lineRule="auto"/>
        <w:ind w:firstLine="405" w:firstLineChars="169"/>
        <w:jc w:val="both"/>
        <w:rPr>
          <w:spacing w:val="6"/>
          <w:sz w:val="24"/>
          <w:szCs w:val="24"/>
        </w:rPr>
      </w:pPr>
      <w:r>
        <w:rPr>
          <w:kern w:val="0"/>
          <w:sz w:val="24"/>
          <w:szCs w:val="24"/>
        </w:rPr>
        <w:t>D.法定代表人或负责人或实际控制人存在三代以内旁系血亲关系</w:t>
      </w:r>
    </w:p>
    <w:p w14:paraId="461979EE">
      <w:pPr>
        <w:pStyle w:val="111"/>
        <w:widowControl w:val="0"/>
        <w:adjustRightInd w:val="0"/>
        <w:snapToGrid w:val="0"/>
        <w:spacing w:line="360" w:lineRule="auto"/>
        <w:ind w:firstLine="405" w:firstLineChars="169"/>
        <w:jc w:val="both"/>
        <w:rPr>
          <w:kern w:val="0"/>
          <w:sz w:val="24"/>
          <w:szCs w:val="24"/>
        </w:rPr>
      </w:pPr>
      <w:r>
        <w:rPr>
          <w:kern w:val="0"/>
          <w:sz w:val="24"/>
          <w:szCs w:val="24"/>
        </w:rPr>
        <w:t>E.法定代表人或负责人或实际控制人存在近姻亲关系</w:t>
      </w:r>
    </w:p>
    <w:p w14:paraId="136BE55B">
      <w:pPr>
        <w:pStyle w:val="111"/>
        <w:widowControl w:val="0"/>
        <w:adjustRightInd w:val="0"/>
        <w:snapToGrid w:val="0"/>
        <w:spacing w:line="360" w:lineRule="auto"/>
        <w:ind w:firstLine="405" w:firstLineChars="169"/>
        <w:jc w:val="both"/>
        <w:rPr>
          <w:kern w:val="0"/>
          <w:sz w:val="24"/>
          <w:szCs w:val="24"/>
        </w:rPr>
      </w:pPr>
      <w:r>
        <w:rPr>
          <w:kern w:val="0"/>
          <w:sz w:val="24"/>
          <w:szCs w:val="24"/>
        </w:rPr>
        <w:t>F.法定代表人或负责人或实际控制人存在股份控制或实际控制关系</w:t>
      </w:r>
    </w:p>
    <w:p w14:paraId="1FEDE7D8">
      <w:pPr>
        <w:pStyle w:val="111"/>
        <w:widowControl w:val="0"/>
        <w:adjustRightInd w:val="0"/>
        <w:snapToGrid w:val="0"/>
        <w:spacing w:line="360" w:lineRule="auto"/>
        <w:ind w:firstLine="405" w:firstLineChars="169"/>
        <w:jc w:val="both"/>
        <w:outlineLvl w:val="0"/>
        <w:rPr>
          <w:kern w:val="0"/>
          <w:sz w:val="24"/>
          <w:szCs w:val="24"/>
        </w:rPr>
      </w:pPr>
      <w:bookmarkStart w:id="14" w:name="_Toc20769"/>
      <w:bookmarkStart w:id="15" w:name="_Toc16754"/>
      <w:r>
        <w:rPr>
          <w:kern w:val="0"/>
          <w:sz w:val="24"/>
          <w:szCs w:val="24"/>
        </w:rPr>
        <w:t>G.存在共同直接或间接投资设立子公司、联营企业和合营企业情况</w:t>
      </w:r>
      <w:bookmarkEnd w:id="14"/>
      <w:bookmarkEnd w:id="15"/>
    </w:p>
    <w:p w14:paraId="64FD7EC2">
      <w:pPr>
        <w:pStyle w:val="111"/>
        <w:widowControl w:val="0"/>
        <w:adjustRightInd w:val="0"/>
        <w:snapToGrid w:val="0"/>
        <w:spacing w:line="360" w:lineRule="auto"/>
        <w:ind w:firstLine="405" w:firstLineChars="169"/>
        <w:jc w:val="both"/>
        <w:rPr>
          <w:sz w:val="24"/>
          <w:szCs w:val="24"/>
        </w:rPr>
      </w:pPr>
      <w:r>
        <w:rPr>
          <w:kern w:val="0"/>
          <w:sz w:val="24"/>
          <w:szCs w:val="24"/>
        </w:rPr>
        <w:t>H.存在分级代理或代销关系、同一生产制造商关系、</w:t>
      </w:r>
      <w:r>
        <w:rPr>
          <w:sz w:val="24"/>
          <w:szCs w:val="24"/>
        </w:rPr>
        <w:t>管理关系、重要业务（占主营业务收入50%以上）或重要财务往来关系（如融资）等其他实质性控制关系</w:t>
      </w:r>
    </w:p>
    <w:p w14:paraId="14AE9F05">
      <w:pPr>
        <w:pStyle w:val="111"/>
        <w:widowControl w:val="0"/>
        <w:adjustRightInd w:val="0"/>
        <w:snapToGrid w:val="0"/>
        <w:spacing w:line="360" w:lineRule="auto"/>
        <w:ind w:firstLine="405" w:firstLineChars="169"/>
        <w:jc w:val="both"/>
        <w:rPr>
          <w:spacing w:val="6"/>
          <w:sz w:val="24"/>
          <w:szCs w:val="24"/>
        </w:rPr>
      </w:pPr>
      <w:r>
        <w:rPr>
          <w:sz w:val="24"/>
          <w:szCs w:val="24"/>
        </w:rPr>
        <w:t>I</w:t>
      </w:r>
      <w:r>
        <w:rPr>
          <w:kern w:val="0"/>
          <w:sz w:val="24"/>
          <w:szCs w:val="24"/>
        </w:rPr>
        <w:t>.</w:t>
      </w:r>
      <w:r>
        <w:rPr>
          <w:sz w:val="24"/>
          <w:szCs w:val="24"/>
        </w:rPr>
        <w:t>其他利害关系情况</w:t>
      </w:r>
      <w:r>
        <w:rPr>
          <w:kern w:val="0"/>
          <w:sz w:val="24"/>
          <w:szCs w:val="24"/>
        </w:rPr>
        <w:t>。</w:t>
      </w:r>
    </w:p>
    <w:p w14:paraId="6726BD1D">
      <w:pPr>
        <w:pStyle w:val="111"/>
        <w:adjustRightInd w:val="0"/>
        <w:snapToGrid w:val="0"/>
        <w:spacing w:line="360" w:lineRule="auto"/>
        <w:ind w:firstLine="407" w:firstLineChars="169"/>
        <w:rPr>
          <w:b/>
          <w:kern w:val="0"/>
          <w:sz w:val="24"/>
          <w:szCs w:val="24"/>
        </w:rPr>
      </w:pPr>
      <w:r>
        <w:rPr>
          <w:rFonts w:hint="eastAsia"/>
          <w:b/>
          <w:sz w:val="24"/>
          <w:szCs w:val="24"/>
        </w:rPr>
        <w:t>二、</w:t>
      </w:r>
      <w:r>
        <w:rPr>
          <w:b/>
          <w:sz w:val="24"/>
          <w:szCs w:val="24"/>
        </w:rPr>
        <w:t>现已清楚知道并</w:t>
      </w:r>
      <w:r>
        <w:rPr>
          <w:b/>
          <w:kern w:val="0"/>
          <w:sz w:val="24"/>
          <w:szCs w:val="24"/>
        </w:rPr>
        <w:t>严格遵守法律法规和</w:t>
      </w:r>
      <w:r>
        <w:rPr>
          <w:rFonts w:hint="eastAsia"/>
          <w:b/>
          <w:kern w:val="0"/>
          <w:sz w:val="24"/>
          <w:szCs w:val="24"/>
        </w:rPr>
        <w:t>承诺要求</w:t>
      </w:r>
      <w:r>
        <w:rPr>
          <w:b/>
          <w:kern w:val="0"/>
          <w:sz w:val="24"/>
          <w:szCs w:val="24"/>
        </w:rPr>
        <w:t>。</w:t>
      </w:r>
    </w:p>
    <w:p w14:paraId="6FA51168">
      <w:pPr>
        <w:spacing w:line="360" w:lineRule="atLeast"/>
        <w:ind w:firstLine="3360" w:firstLineChars="1600"/>
        <w:jc w:val="right"/>
        <w:rPr>
          <w:rFonts w:ascii="宋体"/>
          <w:szCs w:val="21"/>
        </w:rPr>
      </w:pPr>
      <w:r>
        <w:rPr>
          <w:rFonts w:hint="eastAsia" w:ascii="宋体"/>
          <w:szCs w:val="21"/>
        </w:rPr>
        <w:t>投标人</w:t>
      </w:r>
      <w:r>
        <w:rPr>
          <w:rFonts w:ascii="宋体"/>
          <w:szCs w:val="21"/>
        </w:rPr>
        <w:t>名称（公章）：</w:t>
      </w:r>
    </w:p>
    <w:p w14:paraId="16931637">
      <w:pPr>
        <w:spacing w:line="360" w:lineRule="atLeast"/>
        <w:ind w:firstLine="3360" w:firstLineChars="1600"/>
        <w:jc w:val="right"/>
        <w:rPr>
          <w:rFonts w:ascii="宋体"/>
          <w:szCs w:val="21"/>
        </w:rPr>
      </w:pPr>
      <w:r>
        <w:rPr>
          <w:rFonts w:ascii="宋体"/>
          <w:szCs w:val="21"/>
        </w:rPr>
        <w:t>法定代表人或授权委托人（签字</w:t>
      </w:r>
      <w:r>
        <w:rPr>
          <w:rFonts w:hint="eastAsia" w:ascii="宋体"/>
          <w:szCs w:val="21"/>
        </w:rPr>
        <w:t>或盖章</w:t>
      </w:r>
      <w:r>
        <w:rPr>
          <w:rFonts w:ascii="宋体"/>
          <w:szCs w:val="21"/>
        </w:rPr>
        <w:t>）：</w:t>
      </w:r>
    </w:p>
    <w:p w14:paraId="24241F3B">
      <w:pPr>
        <w:spacing w:line="360" w:lineRule="atLeast"/>
        <w:ind w:firstLine="3360" w:firstLineChars="1600"/>
        <w:jc w:val="right"/>
        <w:rPr>
          <w:rFonts w:ascii="宋体"/>
          <w:szCs w:val="21"/>
        </w:rPr>
      </w:pPr>
      <w:r>
        <w:rPr>
          <w:rFonts w:ascii="宋体"/>
          <w:szCs w:val="21"/>
        </w:rPr>
        <w:t>日期：</w:t>
      </w:r>
      <w:r>
        <w:rPr>
          <w:rFonts w:hint="eastAsia" w:ascii="宋体"/>
          <w:szCs w:val="21"/>
        </w:rPr>
        <w:t xml:space="preserve"> </w:t>
      </w:r>
      <w:r>
        <w:rPr>
          <w:rFonts w:ascii="宋体"/>
          <w:szCs w:val="21"/>
        </w:rPr>
        <w:t xml:space="preserve">    年  月   日</w:t>
      </w:r>
    </w:p>
    <w:p w14:paraId="6893B28F">
      <w:pPr>
        <w:pStyle w:val="11"/>
      </w:pPr>
      <w:r>
        <w:br w:type="page"/>
      </w:r>
    </w:p>
    <w:p w14:paraId="6FAB389C">
      <w:pPr>
        <w:snapToGrid w:val="0"/>
        <w:spacing w:line="360" w:lineRule="auto"/>
        <w:jc w:val="center"/>
        <w:rPr>
          <w:rFonts w:cs="方正小标宋简体"/>
          <w:b/>
          <w:sz w:val="32"/>
          <w:szCs w:val="32"/>
        </w:rPr>
      </w:pPr>
      <w:r>
        <w:rPr>
          <w:rFonts w:hint="eastAsia" w:ascii="宋体"/>
          <w:b/>
          <w:sz w:val="30"/>
          <w:szCs w:val="30"/>
        </w:rPr>
        <w:t>廉洁承诺书</w:t>
      </w:r>
    </w:p>
    <w:p w14:paraId="64B98F91">
      <w:pPr>
        <w:pStyle w:val="111"/>
        <w:widowControl w:val="0"/>
        <w:adjustRightInd w:val="0"/>
        <w:snapToGrid w:val="0"/>
        <w:spacing w:line="360" w:lineRule="auto"/>
        <w:jc w:val="both"/>
        <w:outlineLvl w:val="0"/>
        <w:rPr>
          <w:kern w:val="0"/>
          <w:sz w:val="24"/>
          <w:szCs w:val="24"/>
        </w:rPr>
      </w:pPr>
      <w:bookmarkStart w:id="16" w:name="_Toc9712"/>
      <w:bookmarkStart w:id="17" w:name="_Toc27139"/>
      <w:r>
        <w:rPr>
          <w:rFonts w:hint="eastAsia"/>
          <w:kern w:val="0"/>
          <w:sz w:val="24"/>
          <w:szCs w:val="24"/>
          <w:u w:val="single"/>
        </w:rPr>
        <w:t>招标人：</w:t>
      </w:r>
      <w:bookmarkEnd w:id="16"/>
      <w:bookmarkEnd w:id="17"/>
      <w:r>
        <w:rPr>
          <w:kern w:val="0"/>
          <w:sz w:val="24"/>
          <w:szCs w:val="24"/>
          <w:u w:val="single"/>
        </w:rPr>
        <w:t xml:space="preserve"> </w:t>
      </w:r>
      <w:r>
        <w:rPr>
          <w:kern w:val="0"/>
          <w:sz w:val="24"/>
          <w:szCs w:val="24"/>
        </w:rPr>
        <w:t xml:space="preserve">      </w:t>
      </w:r>
    </w:p>
    <w:p w14:paraId="3252E251">
      <w:pPr>
        <w:pStyle w:val="111"/>
        <w:widowControl w:val="0"/>
        <w:adjustRightInd w:val="0"/>
        <w:snapToGrid w:val="0"/>
        <w:spacing w:line="360" w:lineRule="auto"/>
        <w:ind w:firstLine="405" w:firstLineChars="169"/>
        <w:jc w:val="both"/>
        <w:outlineLvl w:val="0"/>
        <w:rPr>
          <w:kern w:val="0"/>
          <w:sz w:val="24"/>
          <w:szCs w:val="24"/>
        </w:rPr>
      </w:pPr>
      <w:bookmarkStart w:id="18" w:name="_Toc2897"/>
      <w:bookmarkStart w:id="19" w:name="_Toc27344"/>
      <w:r>
        <w:rPr>
          <w:rFonts w:hint="eastAsia"/>
          <w:kern w:val="0"/>
          <w:sz w:val="24"/>
          <w:szCs w:val="24"/>
        </w:rPr>
        <w:t>作为贵公司潜在供应商，我单位现作如下郑重承诺：</w:t>
      </w:r>
      <w:bookmarkEnd w:id="18"/>
      <w:bookmarkEnd w:id="19"/>
    </w:p>
    <w:p w14:paraId="2D9CD555">
      <w:pPr>
        <w:pStyle w:val="111"/>
        <w:widowControl w:val="0"/>
        <w:adjustRightInd w:val="0"/>
        <w:snapToGrid w:val="0"/>
        <w:spacing w:line="360" w:lineRule="auto"/>
        <w:ind w:firstLine="405" w:firstLineChars="169"/>
        <w:jc w:val="both"/>
        <w:outlineLvl w:val="0"/>
        <w:rPr>
          <w:kern w:val="0"/>
          <w:sz w:val="24"/>
          <w:szCs w:val="24"/>
        </w:rPr>
      </w:pPr>
      <w:bookmarkStart w:id="20" w:name="_Toc26687"/>
      <w:bookmarkStart w:id="21" w:name="_Toc22797"/>
      <w:r>
        <w:rPr>
          <w:rFonts w:hint="eastAsia"/>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20"/>
      <w:bookmarkEnd w:id="21"/>
    </w:p>
    <w:p w14:paraId="603EF042">
      <w:pPr>
        <w:pStyle w:val="111"/>
        <w:widowControl w:val="0"/>
        <w:adjustRightInd w:val="0"/>
        <w:snapToGrid w:val="0"/>
        <w:spacing w:line="360" w:lineRule="auto"/>
        <w:ind w:firstLine="405" w:firstLineChars="169"/>
        <w:jc w:val="both"/>
        <w:outlineLvl w:val="0"/>
        <w:rPr>
          <w:kern w:val="0"/>
          <w:sz w:val="24"/>
          <w:szCs w:val="24"/>
        </w:rPr>
      </w:pPr>
      <w:bookmarkStart w:id="22" w:name="_Toc2523"/>
      <w:bookmarkStart w:id="23" w:name="_Toc4844"/>
      <w:r>
        <w:rPr>
          <w:rFonts w:hint="eastAsia"/>
          <w:kern w:val="0"/>
          <w:sz w:val="24"/>
          <w:szCs w:val="24"/>
        </w:rPr>
        <w:t>2. 在与贵公司的业务往来过程中，不做违反中央八项规定精神和“四风”的事情，不向贵公司工作人员提供宴请、旅游、健身、娱乐等活动安排。</w:t>
      </w:r>
      <w:bookmarkEnd w:id="22"/>
      <w:bookmarkEnd w:id="23"/>
    </w:p>
    <w:p w14:paraId="54408853">
      <w:pPr>
        <w:pStyle w:val="111"/>
        <w:widowControl w:val="0"/>
        <w:adjustRightInd w:val="0"/>
        <w:snapToGrid w:val="0"/>
        <w:spacing w:line="360" w:lineRule="auto"/>
        <w:ind w:firstLine="405" w:firstLineChars="169"/>
        <w:jc w:val="both"/>
        <w:outlineLvl w:val="0"/>
        <w:rPr>
          <w:kern w:val="0"/>
          <w:sz w:val="24"/>
          <w:szCs w:val="24"/>
        </w:rPr>
      </w:pPr>
      <w:bookmarkStart w:id="24" w:name="_Toc19197"/>
      <w:bookmarkStart w:id="25" w:name="_Toc26123"/>
      <w:r>
        <w:rPr>
          <w:rFonts w:hint="eastAsia"/>
          <w:kern w:val="0"/>
          <w:sz w:val="24"/>
          <w:szCs w:val="24"/>
        </w:rPr>
        <w:t>3. 对贵公司工作人员主动向我单位为其本人或亲属索取好处或有相关暗示的不良行为，我单位承诺立即向贵公司如实反映（举报电话：0570-3097581；巨化</w:t>
      </w:r>
      <w:r>
        <w:rPr>
          <w:rFonts w:hint="eastAsia"/>
          <w:kern w:val="0"/>
          <w:sz w:val="24"/>
        </w:rPr>
        <w:t>招标</w:t>
      </w:r>
      <w:r>
        <w:rPr>
          <w:rFonts w:hint="eastAsia"/>
          <w:kern w:val="0"/>
          <w:sz w:val="24"/>
          <w:szCs w:val="24"/>
        </w:rPr>
        <w:t xml:space="preserve">监管办公室投诉邮箱： </w:t>
      </w:r>
      <w:r>
        <w:rPr>
          <w:rFonts w:hint="eastAsia"/>
          <w:kern w:val="0"/>
          <w:sz w:val="24"/>
          <w:szCs w:val="24"/>
        </w:rPr>
        <w:fldChar w:fldCharType="begin"/>
      </w:r>
      <w:r>
        <w:instrText xml:space="preserve">HYPERLINK "mailto:3091876@juhua.com"</w:instrText>
      </w:r>
      <w:r>
        <w:rPr>
          <w:rFonts w:hint="eastAsia"/>
          <w:kern w:val="0"/>
          <w:sz w:val="24"/>
          <w:szCs w:val="24"/>
        </w:rPr>
        <w:fldChar w:fldCharType="separate"/>
      </w:r>
      <w:r>
        <w:rPr>
          <w:rFonts w:hint="eastAsia"/>
          <w:kern w:val="0"/>
          <w:sz w:val="24"/>
          <w:szCs w:val="24"/>
        </w:rPr>
        <w:t>3091876@juhua.com</w:t>
      </w:r>
      <w:r>
        <w:rPr>
          <w:rFonts w:hint="eastAsia"/>
          <w:kern w:val="0"/>
          <w:sz w:val="24"/>
          <w:szCs w:val="24"/>
        </w:rPr>
        <w:fldChar w:fldCharType="end"/>
      </w:r>
      <w:r>
        <w:rPr>
          <w:rFonts w:hint="eastAsia"/>
          <w:kern w:val="0"/>
          <w:sz w:val="24"/>
          <w:szCs w:val="24"/>
        </w:rPr>
        <w:t>）。反映内容如系恶意虚假，我单位愿承担相应的法律责任。</w:t>
      </w:r>
      <w:bookmarkEnd w:id="24"/>
      <w:bookmarkEnd w:id="25"/>
    </w:p>
    <w:p w14:paraId="088C4C2C">
      <w:pPr>
        <w:pStyle w:val="111"/>
        <w:widowControl w:val="0"/>
        <w:adjustRightInd w:val="0"/>
        <w:snapToGrid w:val="0"/>
        <w:spacing w:line="360" w:lineRule="auto"/>
        <w:ind w:firstLine="405" w:firstLineChars="169"/>
        <w:jc w:val="both"/>
        <w:outlineLvl w:val="0"/>
        <w:rPr>
          <w:kern w:val="0"/>
          <w:sz w:val="24"/>
          <w:szCs w:val="24"/>
        </w:rPr>
      </w:pPr>
      <w:bookmarkStart w:id="26" w:name="_Toc27820"/>
      <w:bookmarkStart w:id="27" w:name="_Toc31402"/>
      <w:r>
        <w:rPr>
          <w:rFonts w:hint="eastAsia"/>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26"/>
      <w:bookmarkEnd w:id="27"/>
    </w:p>
    <w:p w14:paraId="32704335">
      <w:pPr>
        <w:pStyle w:val="111"/>
        <w:widowControl w:val="0"/>
        <w:adjustRightInd w:val="0"/>
        <w:snapToGrid w:val="0"/>
        <w:spacing w:line="360" w:lineRule="auto"/>
        <w:ind w:firstLine="405" w:firstLineChars="169"/>
        <w:jc w:val="both"/>
        <w:outlineLvl w:val="0"/>
        <w:rPr>
          <w:kern w:val="0"/>
          <w:sz w:val="24"/>
          <w:szCs w:val="24"/>
        </w:rPr>
      </w:pPr>
      <w:bookmarkStart w:id="28" w:name="_Toc4665"/>
      <w:bookmarkStart w:id="29" w:name="_Toc9114"/>
      <w:r>
        <w:rPr>
          <w:rFonts w:hint="eastAsia"/>
          <w:kern w:val="0"/>
          <w:sz w:val="24"/>
          <w:szCs w:val="24"/>
        </w:rPr>
        <w:t>本承诺书作为投标附件提供给招标单位。</w:t>
      </w:r>
      <w:bookmarkEnd w:id="28"/>
      <w:bookmarkEnd w:id="29"/>
    </w:p>
    <w:p w14:paraId="03061C6C">
      <w:pPr>
        <w:pStyle w:val="111"/>
        <w:widowControl w:val="0"/>
        <w:adjustRightInd w:val="0"/>
        <w:snapToGrid w:val="0"/>
        <w:spacing w:line="360" w:lineRule="auto"/>
        <w:ind w:firstLine="405" w:firstLineChars="169"/>
        <w:jc w:val="both"/>
        <w:outlineLvl w:val="0"/>
        <w:rPr>
          <w:kern w:val="0"/>
          <w:sz w:val="24"/>
          <w:szCs w:val="24"/>
        </w:rPr>
      </w:pPr>
    </w:p>
    <w:p w14:paraId="5BECB6DA">
      <w:pPr>
        <w:pStyle w:val="111"/>
        <w:widowControl w:val="0"/>
        <w:adjustRightInd w:val="0"/>
        <w:snapToGrid w:val="0"/>
        <w:spacing w:line="360" w:lineRule="auto"/>
        <w:ind w:firstLine="405" w:firstLineChars="169"/>
        <w:jc w:val="both"/>
        <w:outlineLvl w:val="0"/>
        <w:rPr>
          <w:kern w:val="0"/>
          <w:sz w:val="24"/>
          <w:szCs w:val="24"/>
        </w:rPr>
      </w:pPr>
    </w:p>
    <w:p w14:paraId="4F86229D">
      <w:pPr>
        <w:pStyle w:val="111"/>
        <w:widowControl w:val="0"/>
        <w:adjustRightInd w:val="0"/>
        <w:snapToGrid w:val="0"/>
        <w:spacing w:line="360" w:lineRule="auto"/>
        <w:ind w:firstLine="405" w:firstLineChars="169"/>
        <w:jc w:val="both"/>
        <w:outlineLvl w:val="0"/>
        <w:rPr>
          <w:kern w:val="0"/>
          <w:sz w:val="24"/>
          <w:szCs w:val="24"/>
        </w:rPr>
      </w:pPr>
    </w:p>
    <w:p w14:paraId="556D78B4">
      <w:pPr>
        <w:pStyle w:val="111"/>
        <w:widowControl w:val="0"/>
        <w:adjustRightInd w:val="0"/>
        <w:snapToGrid w:val="0"/>
        <w:spacing w:line="360" w:lineRule="auto"/>
        <w:ind w:firstLine="405" w:firstLineChars="169"/>
        <w:jc w:val="both"/>
        <w:outlineLvl w:val="0"/>
        <w:rPr>
          <w:kern w:val="0"/>
          <w:sz w:val="24"/>
          <w:szCs w:val="24"/>
        </w:rPr>
      </w:pPr>
    </w:p>
    <w:p w14:paraId="62FC2140">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投标人（盖公章）：                </w:t>
      </w:r>
    </w:p>
    <w:p w14:paraId="04A4ED7D">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法定代表人（签字或盖章）：                             </w:t>
      </w:r>
    </w:p>
    <w:p w14:paraId="50243C1D">
      <w:pPr>
        <w:spacing w:line="360" w:lineRule="auto"/>
        <w:ind w:firstLine="360" w:firstLineChars="150"/>
        <w:jc w:val="right"/>
        <w:rPr>
          <w:rFonts w:ascii="宋体"/>
          <w:bCs/>
          <w:snapToGrid w:val="0"/>
          <w:kern w:val="0"/>
          <w:sz w:val="24"/>
        </w:rPr>
      </w:pPr>
    </w:p>
    <w:p w14:paraId="15038858">
      <w:pPr>
        <w:spacing w:line="360" w:lineRule="auto"/>
        <w:ind w:firstLine="360" w:firstLineChars="150"/>
        <w:jc w:val="right"/>
        <w:rPr>
          <w:rFonts w:ascii="宋体"/>
          <w:bCs/>
          <w:snapToGrid w:val="0"/>
          <w:kern w:val="0"/>
          <w:sz w:val="24"/>
        </w:rPr>
      </w:pPr>
    </w:p>
    <w:p w14:paraId="0B91C81C">
      <w:pPr>
        <w:spacing w:line="360" w:lineRule="auto"/>
        <w:ind w:firstLine="360" w:firstLineChars="150"/>
        <w:jc w:val="right"/>
        <w:rPr>
          <w:rFonts w:ascii="宋体"/>
          <w:bCs/>
          <w:snapToGrid w:val="0"/>
          <w:kern w:val="0"/>
          <w:sz w:val="24"/>
        </w:rPr>
      </w:pPr>
      <w:r>
        <w:rPr>
          <w:rFonts w:hint="eastAsia" w:ascii="宋体"/>
          <w:bCs/>
          <w:snapToGrid w:val="0"/>
          <w:kern w:val="0"/>
          <w:sz w:val="24"/>
        </w:rPr>
        <w:t>_______年＿月 ＿日</w:t>
      </w:r>
    </w:p>
    <w:p w14:paraId="6CF09042">
      <w:pPr>
        <w:spacing w:line="360" w:lineRule="auto"/>
        <w:jc w:val="center"/>
        <w:outlineLvl w:val="1"/>
        <w:rPr>
          <w:rFonts w:hint="eastAsia" w:ascii="宋体"/>
          <w:b/>
          <w:sz w:val="32"/>
        </w:rPr>
      </w:pPr>
    </w:p>
    <w:p w14:paraId="77F30044">
      <w:pPr>
        <w:spacing w:line="360" w:lineRule="auto"/>
        <w:jc w:val="center"/>
        <w:outlineLvl w:val="1"/>
        <w:rPr>
          <w:rFonts w:hint="eastAsia" w:ascii="宋体"/>
          <w:b/>
          <w:sz w:val="32"/>
        </w:rPr>
      </w:pPr>
    </w:p>
    <w:p w14:paraId="5ADA4501">
      <w:pPr>
        <w:spacing w:line="360" w:lineRule="auto"/>
        <w:jc w:val="center"/>
        <w:outlineLvl w:val="1"/>
        <w:rPr>
          <w:rFonts w:hint="eastAsia" w:ascii="宋体"/>
          <w:b/>
          <w:sz w:val="32"/>
        </w:rPr>
      </w:pPr>
    </w:p>
    <w:p w14:paraId="63000255">
      <w:pPr>
        <w:snapToGrid w:val="0"/>
        <w:spacing w:line="500" w:lineRule="exact"/>
        <w:jc w:val="center"/>
        <w:rPr>
          <w:rFonts w:hint="eastAsia" w:ascii="宋体" w:cs="宋体"/>
          <w:sz w:val="44"/>
          <w:szCs w:val="44"/>
          <w:highlight w:val="none"/>
          <w:lang w:eastAsia="zh-CN"/>
        </w:rPr>
      </w:pPr>
    </w:p>
    <w:p w14:paraId="1B7FF4BA">
      <w:pPr>
        <w:snapToGrid w:val="0"/>
        <w:spacing w:line="500" w:lineRule="exact"/>
        <w:jc w:val="center"/>
        <w:rPr>
          <w:rFonts w:hint="eastAsia" w:ascii="宋体" w:cs="宋体"/>
          <w:sz w:val="44"/>
          <w:szCs w:val="44"/>
          <w:highlight w:val="none"/>
          <w:lang w:eastAsia="zh-CN"/>
        </w:rPr>
      </w:pPr>
    </w:p>
    <w:p w14:paraId="54047A77">
      <w:pPr>
        <w:snapToGrid w:val="0"/>
        <w:spacing w:line="500" w:lineRule="exact"/>
        <w:jc w:val="both"/>
        <w:rPr>
          <w:rFonts w:hint="eastAsia" w:ascii="宋体" w:cs="宋体"/>
          <w:sz w:val="44"/>
          <w:szCs w:val="44"/>
          <w:highlight w:val="none"/>
          <w:lang w:eastAsia="zh-CN"/>
        </w:rPr>
      </w:pPr>
    </w:p>
    <w:p w14:paraId="385CB93B">
      <w:pPr>
        <w:snapToGrid w:val="0"/>
        <w:spacing w:line="500" w:lineRule="exact"/>
        <w:jc w:val="center"/>
        <w:rPr>
          <w:rFonts w:hint="eastAsia" w:ascii="宋体" w:cs="宋体"/>
          <w:sz w:val="44"/>
          <w:szCs w:val="44"/>
          <w:highlight w:val="none"/>
          <w:lang w:eastAsia="zh-CN"/>
        </w:rPr>
      </w:pPr>
    </w:p>
    <w:p w14:paraId="49629B5B">
      <w:pPr>
        <w:snapToGrid w:val="0"/>
        <w:spacing w:line="500" w:lineRule="exact"/>
        <w:jc w:val="center"/>
        <w:rPr>
          <w:rFonts w:hint="eastAsia" w:ascii="宋体" w:cs="宋体"/>
          <w:sz w:val="44"/>
          <w:szCs w:val="44"/>
          <w:highlight w:val="none"/>
          <w:lang w:eastAsia="zh-CN"/>
        </w:rPr>
      </w:pPr>
    </w:p>
    <w:p w14:paraId="4C62A441">
      <w:pPr>
        <w:snapToGrid w:val="0"/>
        <w:spacing w:line="500" w:lineRule="exact"/>
        <w:jc w:val="center"/>
        <w:rPr>
          <w:rFonts w:hint="eastAsia" w:ascii="宋体" w:eastAsia="宋体" w:cs="宋体"/>
          <w:sz w:val="44"/>
          <w:szCs w:val="44"/>
          <w:highlight w:val="none"/>
        </w:rPr>
      </w:pPr>
      <w:r>
        <w:rPr>
          <w:rFonts w:hint="eastAsia" w:ascii="宋体" w:cs="宋体"/>
          <w:sz w:val="44"/>
          <w:szCs w:val="44"/>
          <w:highlight w:val="none"/>
          <w:lang w:eastAsia="zh-CN"/>
        </w:rPr>
        <w:t>巨化集团有限公司202</w:t>
      </w:r>
      <w:r>
        <w:rPr>
          <w:rFonts w:ascii="宋体" w:cs="宋体"/>
          <w:sz w:val="44"/>
          <w:szCs w:val="44"/>
          <w:highlight w:val="none"/>
          <w:lang w:eastAsia="zh-CN"/>
        </w:rPr>
        <w:t>5</w:t>
      </w:r>
      <w:r>
        <w:rPr>
          <w:rFonts w:hint="eastAsia" w:ascii="宋体" w:cs="宋体"/>
          <w:sz w:val="44"/>
          <w:szCs w:val="44"/>
          <w:highlight w:val="none"/>
          <w:lang w:eastAsia="zh-CN"/>
        </w:rPr>
        <w:t>年度危险废物处置利用入围服务商</w:t>
      </w:r>
      <w:r>
        <w:rPr>
          <w:rFonts w:hint="eastAsia" w:ascii="宋体" w:eastAsia="宋体" w:cs="宋体"/>
          <w:bCs/>
          <w:sz w:val="44"/>
          <w:szCs w:val="44"/>
          <w:highlight w:val="none"/>
        </w:rPr>
        <w:t>项目</w:t>
      </w:r>
      <w:r>
        <w:rPr>
          <w:rFonts w:hint="eastAsia" w:ascii="宋体" w:eastAsia="宋体" w:cs="宋体"/>
          <w:sz w:val="44"/>
          <w:szCs w:val="44"/>
          <w:highlight w:val="none"/>
        </w:rPr>
        <w:t>招标</w:t>
      </w:r>
    </w:p>
    <w:p w14:paraId="3A659A4E">
      <w:pPr>
        <w:snapToGrid w:val="0"/>
        <w:spacing w:before="240" w:line="500" w:lineRule="exact"/>
        <w:jc w:val="center"/>
        <w:rPr>
          <w:rFonts w:hint="eastAsia" w:ascii="宋体" w:eastAsia="宋体" w:cs="宋体"/>
          <w:sz w:val="44"/>
          <w:szCs w:val="44"/>
          <w:highlight w:val="none"/>
        </w:rPr>
      </w:pPr>
    </w:p>
    <w:p w14:paraId="7BEEB011">
      <w:pPr>
        <w:snapToGrid w:val="0"/>
        <w:spacing w:before="240" w:line="500" w:lineRule="exact"/>
        <w:jc w:val="center"/>
        <w:rPr>
          <w:rFonts w:hint="eastAsia" w:ascii="宋体" w:eastAsia="宋体" w:cs="宋体"/>
          <w:sz w:val="44"/>
          <w:szCs w:val="44"/>
          <w:highlight w:val="none"/>
        </w:rPr>
      </w:pPr>
      <w:r>
        <w:rPr>
          <w:rFonts w:hint="eastAsia" w:ascii="宋体" w:eastAsia="宋体" w:cs="宋体"/>
          <w:sz w:val="44"/>
          <w:szCs w:val="44"/>
          <w:highlight w:val="none"/>
        </w:rPr>
        <w:t>投  标  文  件</w:t>
      </w:r>
    </w:p>
    <w:p w14:paraId="4A7C42C9">
      <w:pPr>
        <w:snapToGrid w:val="0"/>
        <w:spacing w:line="500" w:lineRule="exact"/>
        <w:jc w:val="center"/>
        <w:rPr>
          <w:rFonts w:hint="eastAsia" w:ascii="宋体" w:eastAsia="宋体" w:cs="宋体"/>
          <w:sz w:val="32"/>
          <w:szCs w:val="32"/>
          <w:highlight w:val="none"/>
        </w:rPr>
      </w:pPr>
    </w:p>
    <w:p w14:paraId="719DD3C8">
      <w:pPr>
        <w:snapToGrid w:val="0"/>
        <w:spacing w:line="500" w:lineRule="exact"/>
        <w:jc w:val="both"/>
        <w:rPr>
          <w:rFonts w:hint="eastAsia" w:ascii="宋体" w:eastAsia="宋体" w:cs="宋体"/>
          <w:sz w:val="32"/>
          <w:szCs w:val="32"/>
          <w:highlight w:val="none"/>
        </w:rPr>
      </w:pPr>
    </w:p>
    <w:p w14:paraId="1341BA43">
      <w:pPr>
        <w:snapToGrid w:val="0"/>
        <w:spacing w:line="500" w:lineRule="exact"/>
        <w:jc w:val="center"/>
        <w:rPr>
          <w:rFonts w:hint="eastAsia" w:ascii="宋体" w:eastAsia="宋体" w:cs="宋体"/>
          <w:sz w:val="32"/>
          <w:szCs w:val="32"/>
          <w:highlight w:val="none"/>
        </w:rPr>
      </w:pPr>
    </w:p>
    <w:p w14:paraId="4B5D5777">
      <w:pPr>
        <w:spacing w:line="500" w:lineRule="exact"/>
        <w:ind w:firstLine="560"/>
        <w:rPr>
          <w:rFonts w:hint="eastAsia" w:ascii="宋体" w:eastAsia="宋体" w:cs="宋体"/>
          <w:sz w:val="28"/>
          <w:szCs w:val="28"/>
          <w:highlight w:val="none"/>
        </w:rPr>
      </w:pPr>
      <w:r>
        <w:rPr>
          <w:rFonts w:hint="eastAsia" w:ascii="宋体" w:eastAsia="宋体" w:cs="宋体"/>
          <w:sz w:val="28"/>
          <w:szCs w:val="28"/>
          <w:highlight w:val="none"/>
        </w:rPr>
        <w:t>项 目 名 称 ：</w:t>
      </w:r>
      <w:r>
        <w:rPr>
          <w:rFonts w:hint="eastAsia" w:ascii="宋体" w:cs="宋体"/>
          <w:sz w:val="28"/>
          <w:szCs w:val="28"/>
          <w:highlight w:val="none"/>
          <w:u w:val="single"/>
          <w:lang w:eastAsia="zh-CN"/>
        </w:rPr>
        <w:t>巨化集团有限公司2025年度危险废物处置利用入围服务商项目</w:t>
      </w:r>
      <w:r>
        <w:rPr>
          <w:rFonts w:hint="eastAsia" w:ascii="宋体" w:eastAsia="宋体" w:cs="宋体"/>
          <w:sz w:val="28"/>
          <w:szCs w:val="28"/>
          <w:highlight w:val="none"/>
          <w:u w:val="single"/>
        </w:rPr>
        <w:t xml:space="preserve">                   </w:t>
      </w:r>
      <w:r>
        <w:rPr>
          <w:rFonts w:hint="eastAsia" w:ascii="宋体" w:eastAsia="宋体" w:cs="宋体"/>
          <w:sz w:val="28"/>
          <w:szCs w:val="28"/>
          <w:highlight w:val="none"/>
        </w:rPr>
        <w:t xml:space="preserve">                               </w:t>
      </w:r>
    </w:p>
    <w:p w14:paraId="1927C33A">
      <w:pPr>
        <w:snapToGrid w:val="0"/>
        <w:spacing w:line="500" w:lineRule="exact"/>
        <w:ind w:firstLine="700" w:firstLineChars="250"/>
        <w:rPr>
          <w:rFonts w:hint="eastAsia" w:ascii="宋体" w:eastAsia="宋体" w:cs="宋体"/>
          <w:sz w:val="28"/>
          <w:szCs w:val="28"/>
          <w:highlight w:val="none"/>
          <w:u w:val="single"/>
        </w:rPr>
      </w:pPr>
      <w:r>
        <w:rPr>
          <w:rFonts w:hint="eastAsia" w:ascii="宋体" w:eastAsia="宋体" w:cs="宋体"/>
          <w:sz w:val="28"/>
          <w:szCs w:val="28"/>
          <w:highlight w:val="none"/>
        </w:rPr>
        <w:t>投标文件内容：</w:t>
      </w:r>
      <w:r>
        <w:rPr>
          <w:rFonts w:hint="eastAsia" w:ascii="宋体" w:eastAsia="宋体" w:cs="宋体"/>
          <w:sz w:val="28"/>
          <w:szCs w:val="28"/>
          <w:highlight w:val="none"/>
          <w:u w:val="single" w:color="000000"/>
        </w:rPr>
        <w:t xml:space="preserve"> </w:t>
      </w:r>
      <w:r>
        <w:rPr>
          <w:rFonts w:hint="eastAsia" w:ascii="宋体" w:cs="宋体"/>
          <w:sz w:val="28"/>
          <w:szCs w:val="28"/>
          <w:highlight w:val="none"/>
          <w:u w:val="single" w:color="000000"/>
          <w:lang w:eastAsia="zh-CN"/>
        </w:rPr>
        <w:t>商务经济文件</w:t>
      </w:r>
      <w:r>
        <w:rPr>
          <w:rFonts w:hint="eastAsia" w:ascii="宋体" w:eastAsia="宋体" w:cs="宋体"/>
          <w:sz w:val="28"/>
          <w:szCs w:val="28"/>
          <w:highlight w:val="none"/>
          <w:u w:val="single" w:color="000000"/>
        </w:rPr>
        <w:t xml:space="preserve">      </w:t>
      </w:r>
    </w:p>
    <w:p w14:paraId="6D765387">
      <w:pPr>
        <w:snapToGrid w:val="0"/>
        <w:spacing w:line="500" w:lineRule="exact"/>
        <w:ind w:firstLine="700" w:firstLineChars="250"/>
        <w:rPr>
          <w:rFonts w:hint="eastAsia" w:ascii="宋体" w:eastAsia="宋体" w:cs="宋体"/>
          <w:sz w:val="28"/>
          <w:szCs w:val="28"/>
          <w:highlight w:val="none"/>
        </w:rPr>
      </w:pPr>
      <w:r>
        <w:rPr>
          <w:rFonts w:hint="eastAsia" w:ascii="宋体" w:eastAsia="宋体" w:cs="宋体"/>
          <w:sz w:val="28"/>
          <w:szCs w:val="28"/>
          <w:highlight w:val="none"/>
        </w:rPr>
        <w:t>投  标  人：</w:t>
      </w:r>
      <w:r>
        <w:rPr>
          <w:rFonts w:hint="eastAsia" w:ascii="宋体" w:eastAsia="宋体" w:cs="宋体"/>
          <w:sz w:val="28"/>
          <w:szCs w:val="28"/>
          <w:highlight w:val="none"/>
          <w:u w:val="single" w:color="000000"/>
        </w:rPr>
        <w:t xml:space="preserve">                            （盖章）                  </w:t>
      </w:r>
    </w:p>
    <w:p w14:paraId="1422E8FA">
      <w:pPr>
        <w:snapToGrid w:val="0"/>
        <w:spacing w:line="500" w:lineRule="exact"/>
        <w:ind w:firstLine="700" w:firstLineChars="250"/>
        <w:rPr>
          <w:rFonts w:hint="eastAsia" w:ascii="宋体" w:eastAsia="宋体" w:cs="宋体"/>
          <w:sz w:val="28"/>
          <w:szCs w:val="28"/>
          <w:highlight w:val="none"/>
        </w:rPr>
      </w:pPr>
      <w:r>
        <w:rPr>
          <w:rFonts w:hint="eastAsia" w:ascii="宋体" w:eastAsia="宋体" w:cs="宋体"/>
          <w:sz w:val="28"/>
          <w:szCs w:val="28"/>
          <w:highlight w:val="none"/>
        </w:rPr>
        <w:t>法定代表人：</w:t>
      </w:r>
      <w:r>
        <w:rPr>
          <w:rFonts w:hint="eastAsia" w:ascii="宋体" w:eastAsia="宋体" w:cs="宋体"/>
          <w:sz w:val="28"/>
          <w:szCs w:val="28"/>
          <w:highlight w:val="none"/>
          <w:u w:val="single" w:color="000000"/>
        </w:rPr>
        <w:t xml:space="preserve">                            （盖章）                  </w:t>
      </w:r>
    </w:p>
    <w:p w14:paraId="7534028B">
      <w:pPr>
        <w:snapToGrid w:val="0"/>
        <w:spacing w:line="500" w:lineRule="exact"/>
        <w:jc w:val="center"/>
        <w:rPr>
          <w:rFonts w:hint="eastAsia" w:ascii="宋体" w:eastAsia="宋体" w:cs="宋体"/>
          <w:sz w:val="28"/>
          <w:szCs w:val="28"/>
          <w:highlight w:val="none"/>
        </w:rPr>
      </w:pPr>
      <w:r>
        <w:rPr>
          <w:rFonts w:hint="eastAsia" w:ascii="宋体" w:eastAsia="宋体" w:cs="宋体"/>
          <w:sz w:val="28"/>
          <w:szCs w:val="28"/>
          <w:highlight w:val="none"/>
        </w:rPr>
        <w:t xml:space="preserve"> </w:t>
      </w:r>
    </w:p>
    <w:p w14:paraId="6E8D22CB">
      <w:pPr>
        <w:snapToGrid w:val="0"/>
        <w:spacing w:line="500" w:lineRule="exact"/>
        <w:jc w:val="center"/>
        <w:rPr>
          <w:rFonts w:hint="eastAsia" w:ascii="宋体" w:eastAsia="宋体" w:cs="宋体"/>
          <w:sz w:val="28"/>
          <w:szCs w:val="28"/>
          <w:highlight w:val="none"/>
        </w:rPr>
      </w:pPr>
    </w:p>
    <w:p w14:paraId="767689AD">
      <w:pPr>
        <w:snapToGrid w:val="0"/>
        <w:spacing w:line="500" w:lineRule="exact"/>
        <w:jc w:val="center"/>
        <w:rPr>
          <w:rFonts w:hint="eastAsia" w:ascii="宋体" w:eastAsia="宋体" w:cs="宋体"/>
          <w:sz w:val="28"/>
          <w:szCs w:val="28"/>
          <w:highlight w:val="none"/>
        </w:rPr>
      </w:pP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年</w:t>
      </w: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月</w:t>
      </w:r>
      <w:r>
        <w:rPr>
          <w:rFonts w:hint="eastAsia" w:ascii="宋体" w:eastAsia="宋体" w:cs="宋体"/>
          <w:sz w:val="28"/>
          <w:szCs w:val="28"/>
          <w:highlight w:val="none"/>
          <w:u w:val="single" w:color="000000"/>
        </w:rPr>
        <w:t xml:space="preserve">         </w:t>
      </w:r>
      <w:r>
        <w:rPr>
          <w:rFonts w:hint="eastAsia" w:ascii="宋体" w:eastAsia="宋体" w:cs="宋体"/>
          <w:sz w:val="28"/>
          <w:szCs w:val="28"/>
          <w:highlight w:val="none"/>
        </w:rPr>
        <w:t>日</w:t>
      </w:r>
    </w:p>
    <w:p w14:paraId="69084042">
      <w:pPr>
        <w:snapToGrid w:val="0"/>
        <w:spacing w:line="360" w:lineRule="auto"/>
        <w:jc w:val="center"/>
        <w:rPr>
          <w:rFonts w:hint="eastAsia" w:ascii="宋体"/>
          <w:b/>
          <w:color w:val="auto"/>
          <w:sz w:val="30"/>
          <w:szCs w:val="30"/>
          <w:highlight w:val="none"/>
        </w:rPr>
      </w:pPr>
    </w:p>
    <w:p w14:paraId="4F8D44E2">
      <w:pPr>
        <w:snapToGrid w:val="0"/>
        <w:spacing w:line="360" w:lineRule="auto"/>
        <w:jc w:val="center"/>
        <w:rPr>
          <w:rFonts w:hint="eastAsia" w:ascii="宋体"/>
          <w:b/>
          <w:color w:val="auto"/>
          <w:sz w:val="30"/>
          <w:szCs w:val="30"/>
          <w:highlight w:val="none"/>
        </w:rPr>
      </w:pPr>
    </w:p>
    <w:p w14:paraId="68B17651">
      <w:pPr>
        <w:snapToGrid w:val="0"/>
        <w:spacing w:line="360" w:lineRule="auto"/>
        <w:jc w:val="center"/>
        <w:rPr>
          <w:rFonts w:hint="eastAsia" w:ascii="宋体"/>
          <w:b/>
          <w:color w:val="auto"/>
          <w:sz w:val="30"/>
          <w:szCs w:val="30"/>
          <w:highlight w:val="none"/>
        </w:rPr>
      </w:pPr>
    </w:p>
    <w:p w14:paraId="26A185A3">
      <w:pPr>
        <w:snapToGrid w:val="0"/>
        <w:spacing w:line="360" w:lineRule="auto"/>
        <w:jc w:val="center"/>
        <w:rPr>
          <w:rFonts w:hint="eastAsia" w:ascii="宋体"/>
          <w:b/>
          <w:color w:val="auto"/>
          <w:sz w:val="30"/>
          <w:szCs w:val="30"/>
          <w:highlight w:val="none"/>
        </w:rPr>
      </w:pPr>
    </w:p>
    <w:p w14:paraId="0F436287">
      <w:pPr>
        <w:snapToGrid w:val="0"/>
        <w:spacing w:line="360" w:lineRule="auto"/>
        <w:jc w:val="center"/>
        <w:rPr>
          <w:rFonts w:hint="eastAsia" w:ascii="宋体"/>
          <w:b/>
          <w:color w:val="auto"/>
          <w:sz w:val="30"/>
          <w:szCs w:val="30"/>
          <w:highlight w:val="none"/>
        </w:rPr>
      </w:pPr>
    </w:p>
    <w:p w14:paraId="47FAAC1C">
      <w:pPr>
        <w:snapToGrid w:val="0"/>
        <w:spacing w:line="360" w:lineRule="auto"/>
        <w:jc w:val="center"/>
        <w:rPr>
          <w:rFonts w:hint="eastAsia" w:ascii="宋体"/>
          <w:b/>
          <w:color w:val="auto"/>
          <w:sz w:val="30"/>
          <w:szCs w:val="30"/>
          <w:highlight w:val="none"/>
        </w:rPr>
      </w:pPr>
    </w:p>
    <w:p w14:paraId="34164FFA">
      <w:pPr>
        <w:snapToGrid w:val="0"/>
        <w:spacing w:line="360" w:lineRule="auto"/>
        <w:jc w:val="center"/>
        <w:rPr>
          <w:rFonts w:hint="eastAsia" w:ascii="宋体"/>
          <w:b/>
          <w:color w:val="auto"/>
          <w:sz w:val="30"/>
          <w:szCs w:val="30"/>
          <w:highlight w:val="none"/>
        </w:rPr>
      </w:pPr>
      <w:r>
        <w:rPr>
          <w:rFonts w:hint="eastAsia" w:ascii="宋体"/>
          <w:b/>
          <w:color w:val="auto"/>
          <w:sz w:val="30"/>
          <w:szCs w:val="30"/>
          <w:highlight w:val="none"/>
        </w:rPr>
        <w:t>开标一览表</w:t>
      </w:r>
    </w:p>
    <w:p w14:paraId="39D158F8">
      <w:pPr>
        <w:snapToGrid w:val="0"/>
        <w:spacing w:line="360" w:lineRule="auto"/>
        <w:jc w:val="left"/>
        <w:rPr>
          <w:rFonts w:hint="eastAsia" w:ascii="宋体"/>
          <w:color w:val="auto"/>
          <w:sz w:val="24"/>
          <w:highlight w:val="none"/>
          <w:u w:val="single"/>
        </w:rPr>
      </w:pPr>
      <w:r>
        <w:rPr>
          <w:rFonts w:hint="eastAsia" w:ascii="宋体"/>
          <w:color w:val="auto"/>
          <w:sz w:val="24"/>
          <w:highlight w:val="none"/>
        </w:rPr>
        <w:t>项目编号：</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77"/>
        <w:gridCol w:w="6795"/>
        <w:gridCol w:w="2487"/>
      </w:tblGrid>
      <w:tr w14:paraId="61F1C4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699" w:type="pct"/>
            <w:noWrap/>
            <w:vAlign w:val="center"/>
          </w:tcPr>
          <w:p w14:paraId="7371CBF3">
            <w:pPr>
              <w:ind w:right="-21" w:rightChars="-10"/>
              <w:jc w:val="center"/>
              <w:rPr>
                <w:rFonts w:hint="eastAsia" w:ascii="宋体" w:eastAsia="宋体" w:cs="宋体"/>
                <w:b/>
                <w:color w:val="auto"/>
                <w:sz w:val="24"/>
                <w:szCs w:val="24"/>
                <w:lang w:eastAsia="zh-CN"/>
              </w:rPr>
            </w:pPr>
            <w:r>
              <w:rPr>
                <w:rFonts w:hint="eastAsia" w:ascii="宋体" w:cs="宋体"/>
                <w:b/>
                <w:color w:val="auto"/>
                <w:sz w:val="24"/>
                <w:szCs w:val="24"/>
                <w:lang w:val="en-US" w:eastAsia="zh-CN"/>
              </w:rPr>
              <w:t>序号</w:t>
            </w:r>
          </w:p>
        </w:tc>
        <w:tc>
          <w:tcPr>
            <w:tcW w:w="2042" w:type="pct"/>
            <w:noWrap/>
            <w:vAlign w:val="center"/>
          </w:tcPr>
          <w:p w14:paraId="35784236">
            <w:pPr>
              <w:ind w:right="-21" w:rightChars="-10"/>
              <w:jc w:val="center"/>
              <w:rPr>
                <w:rFonts w:ascii="宋体" w:eastAsia="宋体" w:cs="宋体"/>
                <w:b/>
                <w:color w:val="auto"/>
                <w:sz w:val="24"/>
                <w:szCs w:val="24"/>
                <w:lang w:val="en-US" w:eastAsia="zh-CN"/>
              </w:rPr>
            </w:pPr>
            <w:r>
              <w:rPr>
                <w:rFonts w:hint="eastAsia" w:ascii="宋体" w:cs="宋体"/>
                <w:b/>
                <w:color w:val="auto"/>
                <w:sz w:val="24"/>
                <w:szCs w:val="24"/>
                <w:lang w:val="en-US" w:eastAsia="zh-CN"/>
              </w:rPr>
              <w:t>项目名称</w:t>
            </w:r>
          </w:p>
        </w:tc>
        <w:tc>
          <w:tcPr>
            <w:tcW w:w="2257" w:type="pct"/>
            <w:noWrap/>
            <w:vAlign w:val="center"/>
          </w:tcPr>
          <w:p w14:paraId="3A844CA9">
            <w:pPr>
              <w:ind w:right="-21" w:rightChars="-10"/>
              <w:jc w:val="center"/>
              <w:rPr>
                <w:rFonts w:hint="eastAsia" w:ascii="宋体" w:cs="宋体"/>
                <w:b/>
                <w:color w:val="auto"/>
                <w:sz w:val="24"/>
                <w:szCs w:val="24"/>
              </w:rPr>
            </w:pPr>
            <w:r>
              <w:rPr>
                <w:rFonts w:hint="eastAsia" w:ascii="宋体" w:cs="宋体"/>
                <w:b/>
                <w:color w:val="auto"/>
                <w:sz w:val="24"/>
                <w:szCs w:val="24"/>
              </w:rPr>
              <w:t>投标报价</w:t>
            </w:r>
          </w:p>
          <w:p w14:paraId="4EB52DDC">
            <w:pPr>
              <w:ind w:right="-21" w:rightChars="-10"/>
              <w:jc w:val="center"/>
              <w:rPr>
                <w:rFonts w:hint="eastAsia" w:ascii="宋体" w:cs="宋体"/>
                <w:b/>
                <w:color w:val="auto"/>
                <w:sz w:val="24"/>
                <w:szCs w:val="24"/>
              </w:rPr>
            </w:pPr>
            <w:r>
              <w:rPr>
                <w:rFonts w:hint="eastAsia" w:ascii="宋体" w:cs="宋体"/>
                <w:b/>
                <w:color w:val="auto"/>
                <w:sz w:val="24"/>
                <w:szCs w:val="24"/>
              </w:rPr>
              <w:t>（元）</w:t>
            </w:r>
          </w:p>
        </w:tc>
      </w:tr>
      <w:tr w14:paraId="648531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699" w:type="pct"/>
            <w:noWrap/>
            <w:vAlign w:val="center"/>
          </w:tcPr>
          <w:p w14:paraId="7CE00E52">
            <w:pPr>
              <w:ind w:right="-21" w:rightChars="-10"/>
              <w:jc w:val="center"/>
              <w:rPr>
                <w:rFonts w:hint="eastAsia" w:ascii="宋体" w:cs="宋体"/>
                <w:color w:val="auto"/>
                <w:sz w:val="24"/>
                <w:szCs w:val="24"/>
              </w:rPr>
            </w:pPr>
            <w:r>
              <w:rPr>
                <w:rFonts w:hint="eastAsia" w:ascii="宋体" w:cs="宋体"/>
                <w:color w:val="auto"/>
                <w:sz w:val="24"/>
                <w:szCs w:val="24"/>
              </w:rPr>
              <w:t>1</w:t>
            </w:r>
          </w:p>
        </w:tc>
        <w:tc>
          <w:tcPr>
            <w:tcW w:w="2042" w:type="pct"/>
            <w:noWrap/>
            <w:vAlign w:val="center"/>
          </w:tcPr>
          <w:p w14:paraId="5BCC7FEA">
            <w:pPr>
              <w:ind w:right="-21" w:rightChars="-10"/>
              <w:jc w:val="center"/>
              <w:rPr>
                <w:rFonts w:hint="eastAsia" w:ascii="宋体" w:eastAsia="宋体" w:cs="宋体"/>
                <w:color w:val="auto"/>
                <w:sz w:val="24"/>
                <w:szCs w:val="24"/>
                <w:lang w:eastAsia="zh-CN"/>
              </w:rPr>
            </w:pPr>
            <w:r>
              <w:rPr>
                <w:rFonts w:hint="eastAsia" w:ascii="宋体" w:cs="宋体"/>
                <w:color w:val="000000"/>
                <w:sz w:val="24"/>
                <w:szCs w:val="24"/>
                <w:shd w:val="clear" w:color="auto" w:fill="FFFFFF"/>
                <w:lang w:eastAsia="zh-CN"/>
              </w:rPr>
              <w:t>巨化集团有限公司2025年度危险废物处置利用入围服务商项目</w:t>
            </w:r>
          </w:p>
        </w:tc>
        <w:tc>
          <w:tcPr>
            <w:tcW w:w="2257" w:type="pct"/>
            <w:noWrap/>
            <w:vAlign w:val="center"/>
          </w:tcPr>
          <w:p w14:paraId="3CA99022">
            <w:pPr>
              <w:ind w:right="-21" w:rightChars="-10"/>
              <w:jc w:val="center"/>
              <w:rPr>
                <w:rFonts w:ascii="宋体" w:eastAsia="宋体" w:cs="宋体"/>
                <w:b/>
                <w:color w:val="auto"/>
                <w:sz w:val="24"/>
                <w:szCs w:val="24"/>
                <w:lang w:val="en-US" w:eastAsia="zh-CN"/>
              </w:rPr>
            </w:pPr>
            <w:r>
              <w:rPr>
                <w:rFonts w:hint="eastAsia" w:ascii="宋体" w:cs="宋体"/>
                <w:b w:val="0"/>
                <w:bCs/>
                <w:color w:val="auto"/>
                <w:sz w:val="24"/>
                <w:szCs w:val="24"/>
                <w:lang w:val="en-US" w:eastAsia="zh-CN"/>
              </w:rPr>
              <w:t>47520000</w:t>
            </w:r>
          </w:p>
        </w:tc>
      </w:tr>
    </w:tbl>
    <w:p w14:paraId="56C07485">
      <w:pPr>
        <w:snapToGrid w:val="0"/>
        <w:spacing w:line="360" w:lineRule="auto"/>
        <w:rPr>
          <w:rFonts w:hint="eastAsia" w:ascii="宋体"/>
          <w:color w:val="auto"/>
          <w:sz w:val="24"/>
          <w:szCs w:val="24"/>
          <w:lang w:val="en-US" w:eastAsia="zh-CN"/>
        </w:rPr>
      </w:pPr>
    </w:p>
    <w:p w14:paraId="582760CC">
      <w:pPr>
        <w:snapToGrid w:val="0"/>
        <w:spacing w:line="360" w:lineRule="auto"/>
        <w:rPr>
          <w:rFonts w:hint="eastAsia" w:ascii="宋体" w:eastAsia="宋体" w:cs="宋体"/>
          <w:color w:val="auto"/>
          <w:sz w:val="24"/>
          <w:szCs w:val="24"/>
          <w:highlight w:val="none"/>
          <w:lang w:val="en-US" w:eastAsia="zh-CN" w:bidi="ar-SA"/>
        </w:rPr>
      </w:pPr>
      <w:r>
        <w:rPr>
          <w:rFonts w:hint="eastAsia" w:ascii="宋体"/>
          <w:color w:val="auto"/>
          <w:sz w:val="24"/>
          <w:szCs w:val="24"/>
          <w:lang w:val="en-US" w:eastAsia="zh-CN"/>
        </w:rPr>
        <w:t>备注：因系统格式要求，</w:t>
      </w:r>
      <w:r>
        <w:rPr>
          <w:rFonts w:ascii="宋体"/>
          <w:color w:val="auto"/>
          <w:sz w:val="24"/>
          <w:szCs w:val="24"/>
        </w:rPr>
        <w:t>本</w:t>
      </w:r>
      <w:r>
        <w:rPr>
          <w:rFonts w:hint="eastAsia" w:ascii="宋体"/>
          <w:color w:val="auto"/>
          <w:sz w:val="24"/>
          <w:szCs w:val="24"/>
        </w:rPr>
        <w:t>次招标</w:t>
      </w:r>
      <w:r>
        <w:rPr>
          <w:rFonts w:hint="eastAsia" w:ascii="宋体"/>
          <w:color w:val="auto"/>
          <w:sz w:val="24"/>
          <w:szCs w:val="24"/>
          <w:lang w:val="en-US" w:eastAsia="zh-CN"/>
        </w:rPr>
        <w:t>“</w:t>
      </w:r>
      <w:r>
        <w:rPr>
          <w:rFonts w:hint="eastAsia" w:ascii="宋体" w:cs="宋体"/>
          <w:color w:val="auto"/>
          <w:sz w:val="24"/>
          <w:szCs w:val="24"/>
          <w:highlight w:val="none"/>
          <w:lang w:val="en-US" w:eastAsia="zh-CN" w:bidi="ar-SA"/>
        </w:rPr>
        <w:t>巨化数字化招采平台</w:t>
      </w:r>
      <w:r>
        <w:rPr>
          <w:rFonts w:hint="eastAsia" w:ascii="宋体"/>
          <w:color w:val="auto"/>
          <w:sz w:val="24"/>
          <w:szCs w:val="24"/>
          <w:lang w:val="en-US" w:eastAsia="zh-CN"/>
        </w:rPr>
        <w:t>”</w:t>
      </w:r>
      <w:r>
        <w:rPr>
          <w:rFonts w:hint="eastAsia" w:ascii="宋体" w:cs="宋体"/>
          <w:color w:val="auto"/>
          <w:sz w:val="24"/>
          <w:szCs w:val="24"/>
          <w:highlight w:val="none"/>
          <w:lang w:val="en-US" w:eastAsia="zh-CN" w:bidi="ar-SA"/>
        </w:rPr>
        <w:t>的投标界面中“投标单价”和“投标总价”和</w:t>
      </w:r>
      <w:r>
        <w:rPr>
          <w:rFonts w:hint="eastAsia" w:ascii="宋体"/>
          <w:color w:val="auto"/>
          <w:sz w:val="24"/>
          <w:szCs w:val="24"/>
          <w:lang w:val="en-US" w:eastAsia="zh-CN"/>
        </w:rPr>
        <w:t>投标文件中的</w:t>
      </w:r>
      <w:r>
        <w:rPr>
          <w:rFonts w:hint="eastAsia" w:ascii="宋体"/>
          <w:color w:val="auto"/>
          <w:sz w:val="24"/>
          <w:szCs w:val="24"/>
          <w:lang w:eastAsia="zh-CN"/>
        </w:rPr>
        <w:t>“开标一览表”</w:t>
      </w:r>
      <w:r>
        <w:rPr>
          <w:rFonts w:hint="eastAsia" w:ascii="宋体" w:cs="宋体"/>
          <w:color w:val="auto"/>
          <w:sz w:val="24"/>
          <w:szCs w:val="24"/>
          <w:highlight w:val="none"/>
          <w:lang w:val="en-US" w:eastAsia="zh-CN" w:bidi="ar-SA"/>
        </w:rPr>
        <w:t>可填写估算金额</w:t>
      </w:r>
      <w:r>
        <w:rPr>
          <w:rFonts w:hint="eastAsia" w:ascii="宋体" w:cs="宋体"/>
          <w:b w:val="0"/>
          <w:bCs/>
          <w:color w:val="auto"/>
          <w:sz w:val="24"/>
          <w:szCs w:val="24"/>
          <w:lang w:val="en-US" w:eastAsia="zh-CN"/>
        </w:rPr>
        <w:t>47520000</w:t>
      </w:r>
      <w:r>
        <w:rPr>
          <w:rFonts w:hint="eastAsia" w:ascii="宋体" w:cs="宋体"/>
          <w:color w:val="auto"/>
          <w:sz w:val="24"/>
          <w:szCs w:val="24"/>
          <w:highlight w:val="none"/>
          <w:lang w:val="en-US" w:eastAsia="zh-CN" w:bidi="ar-SA"/>
        </w:rPr>
        <w:t>元，但金额不作评价。</w:t>
      </w:r>
    </w:p>
    <w:p w14:paraId="0AB25893">
      <w:pPr>
        <w:snapToGrid w:val="0"/>
        <w:spacing w:line="360" w:lineRule="auto"/>
        <w:ind w:firstLine="424" w:firstLineChars="177"/>
        <w:rPr>
          <w:rFonts w:hint="eastAsia" w:ascii="宋体"/>
          <w:color w:val="auto"/>
          <w:sz w:val="24"/>
          <w:highlight w:val="none"/>
        </w:rPr>
      </w:pPr>
    </w:p>
    <w:p w14:paraId="2B409D8D">
      <w:pPr>
        <w:snapToGrid w:val="0"/>
        <w:spacing w:line="360" w:lineRule="auto"/>
        <w:ind w:firstLine="424" w:firstLineChars="177"/>
        <w:rPr>
          <w:rFonts w:hint="eastAsia" w:ascii="宋体"/>
          <w:color w:val="auto"/>
          <w:sz w:val="24"/>
          <w:highlight w:val="none"/>
        </w:rPr>
      </w:pPr>
    </w:p>
    <w:p w14:paraId="12EC33ED">
      <w:pPr>
        <w:snapToGrid w:val="0"/>
        <w:spacing w:line="360" w:lineRule="auto"/>
        <w:rPr>
          <w:rFonts w:hint="eastAsia" w:ascii="宋体"/>
          <w:color w:val="auto"/>
          <w:sz w:val="24"/>
          <w:highlight w:val="none"/>
        </w:rPr>
      </w:pPr>
      <w:r>
        <w:rPr>
          <w:rFonts w:hint="eastAsia" w:ascii="宋体"/>
          <w:color w:val="auto"/>
          <w:spacing w:val="20"/>
          <w:sz w:val="24"/>
          <w:highlight w:val="none"/>
        </w:rPr>
        <w:t>投标人：</w:t>
      </w:r>
      <w:r>
        <w:rPr>
          <w:rFonts w:hint="eastAsia" w:ascii="宋体"/>
          <w:color w:val="auto"/>
          <w:spacing w:val="20"/>
          <w:sz w:val="24"/>
          <w:highlight w:val="none"/>
          <w:u w:val="single"/>
        </w:rPr>
        <w:t xml:space="preserve">      （盖章）      </w:t>
      </w:r>
      <w:r>
        <w:rPr>
          <w:rFonts w:hint="eastAsia" w:ascii="宋体"/>
          <w:color w:val="auto"/>
          <w:spacing w:val="20"/>
          <w:sz w:val="24"/>
          <w:highlight w:val="none"/>
        </w:rPr>
        <w:t xml:space="preserve">     日  期：</w:t>
      </w:r>
      <w:r>
        <w:rPr>
          <w:rFonts w:hint="eastAsia" w:ascii="宋体"/>
          <w:color w:val="auto"/>
          <w:spacing w:val="20"/>
          <w:sz w:val="24"/>
          <w:highlight w:val="none"/>
          <w:u w:val="single"/>
        </w:rPr>
        <w:t xml:space="preserve">          </w:t>
      </w:r>
    </w:p>
    <w:p w14:paraId="0B167A74">
      <w:pPr>
        <w:snapToGrid w:val="0"/>
        <w:spacing w:line="360" w:lineRule="auto"/>
        <w:ind w:firstLine="424" w:firstLineChars="177"/>
        <w:rPr>
          <w:rFonts w:hint="eastAsia" w:ascii="宋体"/>
          <w:color w:val="auto"/>
          <w:sz w:val="24"/>
          <w:highlight w:val="none"/>
        </w:rPr>
      </w:pPr>
    </w:p>
    <w:p w14:paraId="54FAFEE3">
      <w:pPr>
        <w:snapToGrid w:val="0"/>
        <w:spacing w:before="295" w:after="295" w:line="360" w:lineRule="auto"/>
        <w:jc w:val="center"/>
        <w:rPr>
          <w:rFonts w:hint="eastAsia" w:ascii="宋体" w:eastAsia="宋体" w:cs="宋体"/>
          <w:b/>
          <w:kern w:val="0"/>
          <w:sz w:val="24"/>
          <w:highlight w:val="none"/>
        </w:rPr>
      </w:pPr>
      <w:r>
        <w:rPr>
          <w:rFonts w:hint="eastAsia" w:ascii="宋体"/>
          <w:b/>
          <w:color w:val="auto"/>
          <w:sz w:val="30"/>
          <w:szCs w:val="30"/>
          <w:highlight w:val="none"/>
        </w:rPr>
        <w:br w:type="page"/>
      </w:r>
    </w:p>
    <w:p w14:paraId="4D93BE7C">
      <w:pPr>
        <w:snapToGrid w:val="0"/>
        <w:spacing w:before="295" w:after="295" w:line="360" w:lineRule="auto"/>
        <w:jc w:val="center"/>
        <w:rPr>
          <w:rFonts w:hint="eastAsia" w:ascii="宋体" w:eastAsia="宋体" w:cs="宋体"/>
          <w:b/>
          <w:kern w:val="0"/>
          <w:sz w:val="24"/>
          <w:highlight w:val="none"/>
        </w:rPr>
      </w:pPr>
    </w:p>
    <w:p w14:paraId="1C7E15F8">
      <w:pPr>
        <w:snapToGrid w:val="0"/>
        <w:spacing w:before="295" w:after="295" w:line="360" w:lineRule="auto"/>
        <w:jc w:val="center"/>
        <w:rPr>
          <w:rFonts w:hint="eastAsia" w:ascii="宋体" w:eastAsia="宋体" w:cs="宋体"/>
          <w:sz w:val="32"/>
          <w:szCs w:val="32"/>
          <w:highlight w:val="none"/>
        </w:rPr>
      </w:pPr>
      <w:r>
        <w:rPr>
          <w:rFonts w:hint="eastAsia" w:ascii="宋体" w:eastAsia="宋体" w:cs="宋体"/>
          <w:b/>
          <w:kern w:val="0"/>
          <w:sz w:val="32"/>
          <w:szCs w:val="32"/>
          <w:highlight w:val="none"/>
        </w:rPr>
        <w:t>投标保证金申请书</w:t>
      </w:r>
    </w:p>
    <w:p w14:paraId="56EBAF53">
      <w:pPr>
        <w:snapToGrid w:val="0"/>
        <w:spacing w:line="360" w:lineRule="auto"/>
        <w:ind w:firstLine="480"/>
        <w:rPr>
          <w:rFonts w:hint="eastAsia" w:ascii="宋体" w:eastAsia="宋体" w:cs="宋体"/>
          <w:sz w:val="24"/>
          <w:highlight w:val="none"/>
        </w:rPr>
      </w:pPr>
      <w:r>
        <w:rPr>
          <w:rFonts w:hint="eastAsia" w:ascii="宋体" w:eastAsia="宋体" w:cs="宋体"/>
          <w:sz w:val="24"/>
          <w:highlight w:val="none"/>
        </w:rPr>
        <w:t>致：浙江南方工程咨询管理有限公司</w:t>
      </w:r>
    </w:p>
    <w:p w14:paraId="5CB5C433">
      <w:pPr>
        <w:snapToGrid w:val="0"/>
        <w:spacing w:line="360" w:lineRule="auto"/>
        <w:ind w:firstLine="480"/>
        <w:rPr>
          <w:rFonts w:hint="eastAsia" w:ascii="宋体" w:eastAsia="宋体" w:cs="宋体"/>
          <w:sz w:val="24"/>
          <w:highlight w:val="none"/>
        </w:rPr>
      </w:pPr>
      <w:r>
        <w:rPr>
          <w:rFonts w:hint="eastAsia" w:ascii="宋体" w:eastAsia="宋体" w:cs="宋体"/>
          <w:sz w:val="24"/>
          <w:highlight w:val="none"/>
        </w:rPr>
        <w:t>我公司参加了贵司组织的        招标项目（项目编号：         ）的投标，现申请退还该笔投标保证金。</w:t>
      </w:r>
    </w:p>
    <w:tbl>
      <w:tblPr>
        <w:tblStyle w:val="23"/>
        <w:tblW w:w="89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6"/>
        <w:gridCol w:w="4224"/>
        <w:gridCol w:w="1075"/>
        <w:gridCol w:w="1985"/>
      </w:tblGrid>
      <w:tr w14:paraId="26712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1616" w:type="dxa"/>
            <w:vMerge w:val="restart"/>
            <w:tcBorders>
              <w:top w:val="single" w:color="000000" w:sz="4" w:space="0"/>
              <w:left w:val="single" w:color="000000" w:sz="4" w:space="0"/>
              <w:bottom w:val="single" w:color="000000" w:sz="4" w:space="0"/>
              <w:right w:val="single" w:color="000000" w:sz="4" w:space="0"/>
            </w:tcBorders>
            <w:vAlign w:val="center"/>
          </w:tcPr>
          <w:p w14:paraId="18914A84">
            <w:pPr>
              <w:snapToGrid w:val="0"/>
              <w:spacing w:line="360" w:lineRule="auto"/>
              <w:jc w:val="center"/>
              <w:rPr>
                <w:rFonts w:hint="eastAsia" w:ascii="宋体" w:eastAsia="宋体" w:cs="宋体"/>
                <w:sz w:val="24"/>
                <w:highlight w:val="none"/>
              </w:rPr>
            </w:pPr>
            <w:r>
              <w:rPr>
                <w:rFonts w:hint="eastAsia" w:ascii="宋体" w:eastAsia="宋体" w:cs="宋体"/>
                <w:sz w:val="24"/>
                <w:highlight w:val="none"/>
              </w:rPr>
              <w:t>申请人信息</w:t>
            </w:r>
          </w:p>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4577E857">
            <w:pPr>
              <w:snapToGrid w:val="0"/>
              <w:spacing w:line="360" w:lineRule="auto"/>
              <w:rPr>
                <w:rFonts w:hint="eastAsia" w:ascii="宋体" w:eastAsia="宋体" w:cs="宋体"/>
                <w:sz w:val="24"/>
                <w:highlight w:val="none"/>
              </w:rPr>
            </w:pPr>
            <w:r>
              <w:rPr>
                <w:rFonts w:hint="eastAsia" w:ascii="宋体" w:eastAsia="宋体" w:cs="宋体"/>
                <w:sz w:val="24"/>
                <w:highlight w:val="none"/>
              </w:rPr>
              <w:t>投标单位（加盖单位公章或财务专用章）：</w:t>
            </w:r>
          </w:p>
        </w:tc>
      </w:tr>
      <w:tr w14:paraId="3AF09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1E4BCDC8"/>
        </w:tc>
        <w:tc>
          <w:tcPr>
            <w:tcW w:w="4224" w:type="dxa"/>
            <w:tcBorders>
              <w:top w:val="single" w:color="000000" w:sz="4" w:space="0"/>
              <w:left w:val="single" w:color="000000" w:sz="4" w:space="0"/>
              <w:bottom w:val="single" w:color="000000" w:sz="4" w:space="0"/>
              <w:right w:val="single" w:color="000000" w:sz="4" w:space="0"/>
            </w:tcBorders>
            <w:vAlign w:val="center"/>
          </w:tcPr>
          <w:p w14:paraId="3BAAFA2D">
            <w:pPr>
              <w:snapToGrid w:val="0"/>
              <w:spacing w:line="360" w:lineRule="auto"/>
              <w:rPr>
                <w:rFonts w:hint="eastAsia" w:ascii="宋体" w:eastAsia="宋体" w:cs="宋体"/>
                <w:sz w:val="24"/>
                <w:highlight w:val="none"/>
              </w:rPr>
            </w:pPr>
            <w:r>
              <w:rPr>
                <w:rFonts w:hint="eastAsia" w:ascii="宋体" w:eastAsia="宋体" w:cs="宋体"/>
                <w:sz w:val="24"/>
                <w:highlight w:val="none"/>
              </w:rPr>
              <w:t>财务联系人：</w:t>
            </w:r>
          </w:p>
        </w:tc>
        <w:tc>
          <w:tcPr>
            <w:tcW w:w="1075" w:type="dxa"/>
            <w:tcBorders>
              <w:top w:val="single" w:color="000000" w:sz="4" w:space="0"/>
              <w:left w:val="single" w:color="000000" w:sz="4" w:space="0"/>
              <w:bottom w:val="single" w:color="000000" w:sz="4" w:space="0"/>
              <w:right w:val="single" w:color="000000" w:sz="4" w:space="0"/>
            </w:tcBorders>
            <w:vAlign w:val="center"/>
          </w:tcPr>
          <w:p w14:paraId="46E0979D">
            <w:pPr>
              <w:snapToGrid w:val="0"/>
              <w:spacing w:line="360" w:lineRule="auto"/>
              <w:rPr>
                <w:rFonts w:hint="eastAsia" w:ascii="宋体" w:eastAsia="宋体" w:cs="宋体"/>
                <w:sz w:val="24"/>
                <w:highlight w:val="none"/>
              </w:rPr>
            </w:pPr>
            <w:r>
              <w:rPr>
                <w:rFonts w:hint="eastAsia" w:ascii="宋体" w:eastAsia="宋体" w:cs="宋体"/>
                <w:sz w:val="24"/>
                <w:highlight w:val="none"/>
              </w:rPr>
              <w:t>联系方式</w:t>
            </w:r>
          </w:p>
        </w:tc>
        <w:tc>
          <w:tcPr>
            <w:tcW w:w="1985" w:type="dxa"/>
            <w:tcBorders>
              <w:top w:val="single" w:color="000000" w:sz="4" w:space="0"/>
              <w:left w:val="single" w:color="000000" w:sz="4" w:space="0"/>
              <w:bottom w:val="single" w:color="000000" w:sz="4" w:space="0"/>
              <w:right w:val="single" w:color="000000" w:sz="4" w:space="0"/>
            </w:tcBorders>
            <w:vAlign w:val="center"/>
          </w:tcPr>
          <w:p w14:paraId="736FBAB1">
            <w:pPr>
              <w:snapToGrid w:val="0"/>
              <w:spacing w:line="360" w:lineRule="auto"/>
              <w:rPr>
                <w:rFonts w:hint="eastAsia" w:ascii="宋体" w:eastAsia="宋体" w:cs="宋体"/>
                <w:sz w:val="24"/>
                <w:highlight w:val="none"/>
              </w:rPr>
            </w:pPr>
          </w:p>
        </w:tc>
      </w:tr>
      <w:tr w14:paraId="7207C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0AB587B5"/>
        </w:tc>
        <w:tc>
          <w:tcPr>
            <w:tcW w:w="4224" w:type="dxa"/>
            <w:tcBorders>
              <w:top w:val="single" w:color="000000" w:sz="4" w:space="0"/>
              <w:left w:val="single" w:color="000000" w:sz="4" w:space="0"/>
              <w:bottom w:val="single" w:color="000000" w:sz="4" w:space="0"/>
              <w:right w:val="single" w:color="000000" w:sz="4" w:space="0"/>
            </w:tcBorders>
            <w:vAlign w:val="center"/>
          </w:tcPr>
          <w:p w14:paraId="425678AF">
            <w:pPr>
              <w:snapToGrid w:val="0"/>
              <w:spacing w:line="360" w:lineRule="auto"/>
              <w:rPr>
                <w:rFonts w:hint="eastAsia" w:ascii="宋体" w:eastAsia="宋体" w:cs="宋体"/>
                <w:sz w:val="24"/>
                <w:highlight w:val="none"/>
              </w:rPr>
            </w:pPr>
            <w:r>
              <w:rPr>
                <w:rFonts w:hint="eastAsia" w:ascii="宋体" w:eastAsia="宋体" w:cs="宋体"/>
                <w:sz w:val="24"/>
                <w:highlight w:val="none"/>
              </w:rPr>
              <w:t>项目负责人：</w:t>
            </w:r>
          </w:p>
        </w:tc>
        <w:tc>
          <w:tcPr>
            <w:tcW w:w="1075" w:type="dxa"/>
            <w:tcBorders>
              <w:top w:val="single" w:color="000000" w:sz="4" w:space="0"/>
              <w:left w:val="single" w:color="000000" w:sz="4" w:space="0"/>
              <w:bottom w:val="single" w:color="000000" w:sz="4" w:space="0"/>
              <w:right w:val="single" w:color="000000" w:sz="4" w:space="0"/>
            </w:tcBorders>
            <w:vAlign w:val="center"/>
          </w:tcPr>
          <w:p w14:paraId="6F004D61">
            <w:pPr>
              <w:snapToGrid w:val="0"/>
              <w:spacing w:line="360" w:lineRule="auto"/>
              <w:rPr>
                <w:rFonts w:hint="eastAsia" w:ascii="宋体" w:eastAsia="宋体" w:cs="宋体"/>
                <w:sz w:val="24"/>
                <w:highlight w:val="none"/>
              </w:rPr>
            </w:pPr>
            <w:r>
              <w:rPr>
                <w:rFonts w:hint="eastAsia" w:ascii="宋体" w:eastAsia="宋体" w:cs="宋体"/>
                <w:sz w:val="24"/>
                <w:highlight w:val="none"/>
              </w:rPr>
              <w:t>联系方式</w:t>
            </w:r>
          </w:p>
        </w:tc>
        <w:tc>
          <w:tcPr>
            <w:tcW w:w="1985" w:type="dxa"/>
            <w:tcBorders>
              <w:top w:val="single" w:color="000000" w:sz="4" w:space="0"/>
              <w:left w:val="single" w:color="000000" w:sz="4" w:space="0"/>
              <w:bottom w:val="single" w:color="000000" w:sz="4" w:space="0"/>
              <w:right w:val="single" w:color="000000" w:sz="4" w:space="0"/>
            </w:tcBorders>
            <w:vAlign w:val="center"/>
          </w:tcPr>
          <w:p w14:paraId="0A828CA1">
            <w:pPr>
              <w:snapToGrid w:val="0"/>
              <w:spacing w:line="360" w:lineRule="auto"/>
              <w:rPr>
                <w:rFonts w:hint="eastAsia" w:ascii="宋体" w:eastAsia="宋体" w:cs="宋体"/>
                <w:sz w:val="24"/>
                <w:highlight w:val="none"/>
              </w:rPr>
            </w:pPr>
          </w:p>
        </w:tc>
      </w:tr>
      <w:tr w14:paraId="7BEF8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1057EF92"/>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53F2B82E">
            <w:pPr>
              <w:snapToGrid w:val="0"/>
              <w:spacing w:line="360" w:lineRule="auto"/>
              <w:rPr>
                <w:rFonts w:hint="eastAsia" w:ascii="宋体" w:eastAsia="宋体" w:cs="宋体"/>
                <w:sz w:val="24"/>
                <w:highlight w:val="none"/>
              </w:rPr>
            </w:pPr>
            <w:r>
              <w:rPr>
                <w:rFonts w:hint="eastAsia" w:ascii="宋体" w:eastAsia="宋体" w:cs="宋体"/>
                <w:sz w:val="24"/>
                <w:highlight w:val="none"/>
              </w:rPr>
              <w:t>投标保证金金额（大写）：</w:t>
            </w:r>
          </w:p>
        </w:tc>
      </w:tr>
      <w:tr w14:paraId="285ED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1616" w:type="dxa"/>
            <w:vMerge w:val="restart"/>
            <w:tcBorders>
              <w:top w:val="single" w:color="000000" w:sz="4" w:space="0"/>
              <w:left w:val="single" w:color="000000" w:sz="4" w:space="0"/>
              <w:bottom w:val="single" w:color="000000" w:sz="4" w:space="0"/>
              <w:right w:val="single" w:color="000000" w:sz="4" w:space="0"/>
            </w:tcBorders>
            <w:vAlign w:val="center"/>
          </w:tcPr>
          <w:p w14:paraId="13605B19">
            <w:pPr>
              <w:snapToGrid w:val="0"/>
              <w:spacing w:line="360" w:lineRule="auto"/>
              <w:jc w:val="center"/>
              <w:rPr>
                <w:rFonts w:hint="eastAsia" w:ascii="宋体" w:eastAsia="宋体" w:cs="宋体"/>
                <w:sz w:val="24"/>
                <w:highlight w:val="none"/>
              </w:rPr>
            </w:pPr>
            <w:r>
              <w:rPr>
                <w:rFonts w:hint="eastAsia" w:ascii="宋体" w:eastAsia="宋体" w:cs="宋体"/>
                <w:sz w:val="24"/>
                <w:highlight w:val="none"/>
              </w:rPr>
              <w:t>退还账户信息</w:t>
            </w:r>
          </w:p>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1725C847">
            <w:pPr>
              <w:snapToGrid w:val="0"/>
              <w:spacing w:line="360" w:lineRule="auto"/>
              <w:rPr>
                <w:rFonts w:hint="eastAsia" w:ascii="宋体" w:eastAsia="宋体" w:cs="宋体"/>
                <w:sz w:val="24"/>
                <w:highlight w:val="none"/>
              </w:rPr>
            </w:pPr>
            <w:r>
              <w:rPr>
                <w:rFonts w:hint="eastAsia" w:ascii="宋体" w:eastAsia="宋体" w:cs="宋体"/>
                <w:sz w:val="24"/>
                <w:highlight w:val="none"/>
              </w:rPr>
              <w:t>单位名称（户名）：</w:t>
            </w:r>
          </w:p>
        </w:tc>
      </w:tr>
      <w:tr w14:paraId="7829D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404ED935"/>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691DA4F6">
            <w:pPr>
              <w:snapToGrid w:val="0"/>
              <w:spacing w:line="360" w:lineRule="auto"/>
              <w:rPr>
                <w:rFonts w:hint="eastAsia" w:ascii="宋体" w:eastAsia="宋体" w:cs="宋体"/>
                <w:sz w:val="24"/>
                <w:highlight w:val="none"/>
              </w:rPr>
            </w:pPr>
            <w:r>
              <w:rPr>
                <w:rFonts w:hint="eastAsia" w:ascii="宋体" w:eastAsia="宋体" w:cs="宋体"/>
                <w:sz w:val="24"/>
                <w:highlight w:val="none"/>
              </w:rPr>
              <w:t>单位税号：</w:t>
            </w:r>
          </w:p>
        </w:tc>
      </w:tr>
      <w:tr w14:paraId="7297BA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0B760763"/>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0B6FA03B">
            <w:pPr>
              <w:snapToGrid w:val="0"/>
              <w:spacing w:line="360" w:lineRule="auto"/>
              <w:rPr>
                <w:rFonts w:hint="eastAsia" w:ascii="宋体" w:eastAsia="宋体" w:cs="宋体"/>
                <w:sz w:val="24"/>
                <w:highlight w:val="none"/>
              </w:rPr>
            </w:pPr>
            <w:r>
              <w:rPr>
                <w:rFonts w:hint="eastAsia" w:ascii="宋体" w:eastAsia="宋体" w:cs="宋体"/>
                <w:sz w:val="24"/>
                <w:highlight w:val="none"/>
              </w:rPr>
              <w:t>开户银行：</w:t>
            </w:r>
          </w:p>
        </w:tc>
      </w:tr>
      <w:tr w14:paraId="579F0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48ACD0A3"/>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28CF61C3">
            <w:pPr>
              <w:snapToGrid w:val="0"/>
              <w:spacing w:line="360" w:lineRule="auto"/>
              <w:rPr>
                <w:rFonts w:hint="eastAsia" w:ascii="宋体" w:eastAsia="宋体" w:cs="宋体"/>
                <w:sz w:val="24"/>
                <w:highlight w:val="none"/>
              </w:rPr>
            </w:pPr>
            <w:r>
              <w:rPr>
                <w:rFonts w:hint="eastAsia" w:ascii="宋体" w:eastAsia="宋体" w:cs="宋体"/>
                <w:sz w:val="24"/>
                <w:highlight w:val="none"/>
              </w:rPr>
              <w:t>银行账号：</w:t>
            </w:r>
          </w:p>
        </w:tc>
      </w:tr>
      <w:tr w14:paraId="3552CA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5274CBB9"/>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432B9798">
            <w:pPr>
              <w:snapToGrid w:val="0"/>
              <w:spacing w:line="360" w:lineRule="auto"/>
              <w:rPr>
                <w:rFonts w:hint="eastAsia" w:ascii="宋体" w:eastAsia="宋体" w:cs="宋体"/>
                <w:sz w:val="24"/>
                <w:highlight w:val="none"/>
              </w:rPr>
            </w:pPr>
            <w:r>
              <w:rPr>
                <w:rFonts w:hint="eastAsia" w:ascii="宋体" w:eastAsia="宋体" w:cs="宋体"/>
                <w:sz w:val="24"/>
                <w:highlight w:val="none"/>
              </w:rPr>
              <w:t>单位地址：</w:t>
            </w:r>
          </w:p>
        </w:tc>
      </w:tr>
      <w:tr w14:paraId="4D625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616" w:type="dxa"/>
            <w:vMerge w:val="continue"/>
            <w:tcBorders>
              <w:top w:val="single" w:color="000000" w:sz="4" w:space="0"/>
              <w:left w:val="single" w:color="000000" w:sz="4" w:space="0"/>
              <w:bottom w:val="single" w:color="000000" w:sz="4" w:space="0"/>
              <w:right w:val="single" w:color="000000" w:sz="4" w:space="0"/>
            </w:tcBorders>
            <w:vAlign w:val="center"/>
          </w:tcPr>
          <w:p w14:paraId="6C509A6C"/>
        </w:tc>
        <w:tc>
          <w:tcPr>
            <w:tcW w:w="7284" w:type="dxa"/>
            <w:gridSpan w:val="3"/>
            <w:tcBorders>
              <w:top w:val="single" w:color="000000" w:sz="4" w:space="0"/>
              <w:left w:val="single" w:color="000000" w:sz="4" w:space="0"/>
              <w:bottom w:val="single" w:color="000000" w:sz="4" w:space="0"/>
              <w:right w:val="single" w:color="000000" w:sz="4" w:space="0"/>
            </w:tcBorders>
            <w:vAlign w:val="center"/>
          </w:tcPr>
          <w:p w14:paraId="3F3D8672">
            <w:pPr>
              <w:snapToGrid w:val="0"/>
              <w:spacing w:line="360" w:lineRule="auto"/>
              <w:rPr>
                <w:rFonts w:hint="eastAsia" w:ascii="宋体" w:eastAsia="宋体" w:cs="宋体"/>
                <w:sz w:val="24"/>
                <w:highlight w:val="none"/>
              </w:rPr>
            </w:pPr>
            <w:r>
              <w:rPr>
                <w:rFonts w:hint="eastAsia" w:ascii="宋体" w:eastAsia="宋体" w:cs="宋体"/>
                <w:sz w:val="24"/>
                <w:highlight w:val="none"/>
              </w:rPr>
              <w:t>电话：</w:t>
            </w:r>
          </w:p>
        </w:tc>
      </w:tr>
    </w:tbl>
    <w:p w14:paraId="6AAC2238">
      <w:pPr>
        <w:snapToGrid w:val="0"/>
        <w:spacing w:line="360" w:lineRule="auto"/>
        <w:ind w:left="630" w:hanging="630"/>
        <w:rPr>
          <w:rFonts w:hint="eastAsia" w:ascii="宋体" w:eastAsia="宋体" w:cs="宋体"/>
          <w:b/>
          <w:sz w:val="24"/>
          <w:highlight w:val="none"/>
        </w:rPr>
      </w:pPr>
      <w:r>
        <w:rPr>
          <w:rFonts w:hint="eastAsia" w:ascii="宋体" w:eastAsia="宋体" w:cs="宋体"/>
          <w:sz w:val="24"/>
          <w:highlight w:val="none"/>
        </w:rPr>
        <w:t>注：1、该“退还投标保证金申请书”可在投标时单独提供</w:t>
      </w:r>
      <w:r>
        <w:rPr>
          <w:rFonts w:hint="eastAsia" w:ascii="宋体" w:eastAsia="宋体" w:cs="宋体"/>
          <w:b/>
          <w:sz w:val="24"/>
          <w:highlight w:val="none"/>
        </w:rPr>
        <w:t>（请勿装订进投标文件中）</w:t>
      </w:r>
      <w:r>
        <w:rPr>
          <w:rFonts w:hint="eastAsia" w:ascii="宋体" w:eastAsia="宋体" w:cs="宋体"/>
          <w:sz w:val="24"/>
          <w:highlight w:val="none"/>
        </w:rPr>
        <w:t>。</w:t>
      </w:r>
    </w:p>
    <w:p w14:paraId="77CC3087">
      <w:pPr>
        <w:rPr>
          <w:rFonts w:hint="eastAsia" w:ascii="宋体" w:eastAsia="宋体" w:cs="宋体"/>
          <w:sz w:val="24"/>
          <w:highlight w:val="none"/>
        </w:rPr>
      </w:pPr>
    </w:p>
    <w:sectPr>
      <w:footerReference r:id="rId12" w:type="default"/>
      <w:pgSz w:w="11907" w:h="16840"/>
      <w:pgMar w:top="1440" w:right="1080" w:bottom="1440" w:left="1080" w:header="680" w:footer="964"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Microsoft YaHei UI"/>
    <w:panose1 w:val="020B0604020202020204"/>
    <w:charset w:val="86"/>
    <w:family w:val="roman"/>
    <w:pitch w:val="default"/>
    <w:sig w:usb0="00000000" w:usb1="00000000" w:usb2="0000003F" w:usb3="00000000" w:csb0="603F01FF" w:csb1="FFFF0000"/>
  </w:font>
  <w:font w:name="Microsoft YaHei UI">
    <w:panose1 w:val="020B0503020204020204"/>
    <w:charset w:val="86"/>
    <w:family w:val="auto"/>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9D142">
    <w:pPr>
      <w:pStyle w:val="18"/>
      <w:jc w:val="right"/>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3"/>
              <wp:cNvGraphicFramePr/>
              <a:graphic xmlns:a="http://schemas.openxmlformats.org/drawingml/2006/main">
                <a:graphicData uri="http://schemas.microsoft.com/office/word/2010/wordprocessingShape">
                  <wps:wsp>
                    <wps:cNvSpPr/>
                    <wps:spPr>
                      <a:xfrm>
                        <a:off x="0" y="0"/>
                        <a:ext cx="57785" cy="131445"/>
                      </a:xfrm>
                      <a:prstGeom prst="rect">
                        <a:avLst/>
                      </a:prstGeom>
                      <a:noFill/>
                      <a:ln w="9525" cap="flat" cmpd="sng">
                        <a:noFill/>
                        <a:prstDash val="solid"/>
                        <a:round/>
                      </a:ln>
                    </wps:spPr>
                    <wps:txbx>
                      <w:txbxContent>
                        <w:p w14:paraId="1D8EA420">
                          <w:pPr>
                            <w:pStyle w:val="18"/>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1">
                      <a:spAutoFit/>
                    </wps:bodyPr>
                  </wps:wsp>
                </a:graphicData>
              </a:graphic>
            </wp:anchor>
          </w:drawing>
        </mc:Choice>
        <mc:Fallback>
          <w:pict>
            <v:rect id="文本框 3" o:spid="_x0000_s1026" o:spt="1"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RY/VtEAAAACAQAADwAAAAAAAAABACAAAAAiAAAAZHJzL2Rvd25yZXYu&#10;eG1sUEsBAhQAFAAAAAgAh07iQFl2mlcCAgAA8wMAAA4AAAAAAAAAAQAgAAAAIAEAAGRycy9lMm9E&#10;b2MueG1sUEsFBgAAAAAGAAYAWQEAAJQFAAAAAA==&#10;">
              <v:fill on="f" focussize="0,0"/>
              <v:stroke on="f" joinstyle="round"/>
              <v:imagedata o:title=""/>
              <o:lock v:ext="edit" aspectratio="f"/>
              <v:textbox inset="0mm,0mm,0mm,0mm" style="mso-fit-shape-to-text:t;">
                <w:txbxContent>
                  <w:p w14:paraId="1D8EA420">
                    <w:pPr>
                      <w:pStyle w:val="18"/>
                    </w:pPr>
                    <w:r>
                      <w:fldChar w:fldCharType="begin"/>
                    </w:r>
                    <w:r>
                      <w:instrText xml:space="preserve"> PAGE  \* MERGEFORMAT </w:instrText>
                    </w:r>
                    <w:r>
                      <w:fldChar w:fldCharType="separate"/>
                    </w:r>
                    <w:r>
                      <w:t>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AB5B4">
    <w:pPr>
      <w:pStyle w:val="18"/>
      <w:framePr w:wrap="around" w:vAnchor="margin" w:hAnchor="text" w:xAlign="center" w:y="1"/>
      <w:rPr>
        <w:rStyle w:val="60"/>
      </w:rPr>
    </w:pPr>
  </w:p>
  <w:p w14:paraId="6168D9B4">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F8CD6">
    <w:pPr>
      <w:pStyle w:val="18"/>
      <w:ind w:right="360"/>
      <w:jc w:val="right"/>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4" name="文本框 6"/>
              <wp:cNvGraphicFramePr/>
              <a:graphic xmlns:a="http://schemas.openxmlformats.org/drawingml/2006/main">
                <a:graphicData uri="http://schemas.microsoft.com/office/word/2010/wordprocessingShape">
                  <wps:wsp>
                    <wps:cNvSpPr/>
                    <wps:spPr>
                      <a:xfrm>
                        <a:off x="0" y="0"/>
                        <a:ext cx="57785" cy="131445"/>
                      </a:xfrm>
                      <a:prstGeom prst="rect">
                        <a:avLst/>
                      </a:prstGeom>
                      <a:noFill/>
                      <a:ln w="9525" cap="flat" cmpd="sng">
                        <a:noFill/>
                        <a:prstDash val="solid"/>
                        <a:round/>
                      </a:ln>
                    </wps:spPr>
                    <wps:txbx>
                      <w:txbxContent>
                        <w:p w14:paraId="114C8AC4">
                          <w:pPr>
                            <w:pStyle w:val="18"/>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rect id="文本框 6" o:spid="_x0000_s1026" o:spt="1"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UWP1bRAAAAAgEAAA8AAAAAAAAAAQAgAAAAIgAAAGRycy9kb3ducmV2&#10;LnhtbFBLAQIUABQAAAAIAIdO4kBEVQTnAwIAAPMDAAAOAAAAAAAAAAEAIAAAACABAABkcnMvZTJv&#10;RG9jLnhtbFBLBQYAAAAABgAGAFkBAACVBQAAAAA=&#10;">
              <v:fill on="f" focussize="0,0"/>
              <v:stroke on="f" joinstyle="round"/>
              <v:imagedata o:title=""/>
              <o:lock v:ext="edit" aspectratio="f"/>
              <v:textbox inset="0mm,0mm,0mm,0mm" style="mso-fit-shape-to-text:t;">
                <w:txbxContent>
                  <w:p w14:paraId="114C8AC4">
                    <w:pPr>
                      <w:pStyle w:val="18"/>
                    </w:pPr>
                    <w:r>
                      <w:fldChar w:fldCharType="begin"/>
                    </w:r>
                    <w:r>
                      <w:instrText xml:space="preserve"> PAGE  \* MERGEFORMAT </w:instrText>
                    </w:r>
                    <w:r>
                      <w:fldChar w:fldCharType="separate"/>
                    </w:r>
                    <w:r>
                      <w:t>1</w:t>
                    </w:r>
                    <w:r>
                      <w:fldChar w:fldCharType="end"/>
                    </w:r>
                  </w:p>
                </w:txbxContent>
              </v:textbox>
            </v:rect>
          </w:pict>
        </mc:Fallback>
      </mc:AlternateContent>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434F0">
    <w:pPr>
      <w:pStyle w:val="18"/>
      <w:jc w:val="center"/>
      <w:rPr>
        <w:rStyle w:val="60"/>
      </w:rPr>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7" name="文本框 9"/>
              <wp:cNvGraphicFramePr/>
              <a:graphic xmlns:a="http://schemas.openxmlformats.org/drawingml/2006/main">
                <a:graphicData uri="http://schemas.microsoft.com/office/word/2010/wordprocessingShape">
                  <wps:wsp>
                    <wps:cNvSpPr/>
                    <wps:spPr>
                      <a:xfrm>
                        <a:off x="0" y="0"/>
                        <a:ext cx="114298" cy="131557"/>
                      </a:xfrm>
                      <a:prstGeom prst="rect">
                        <a:avLst/>
                      </a:prstGeom>
                      <a:noFill/>
                      <a:ln w="9525" cap="flat" cmpd="sng">
                        <a:noFill/>
                        <a:prstDash val="solid"/>
                        <a:round/>
                      </a:ln>
                    </wps:spPr>
                    <wps:txbx>
                      <w:txbxContent>
                        <w:p w14:paraId="633A3BE0">
                          <w:pPr>
                            <w:pStyle w:val="18"/>
                          </w:pPr>
                          <w:r>
                            <w:fldChar w:fldCharType="begin"/>
                          </w:r>
                          <w:r>
                            <w:instrText xml:space="preserve"> PAGE  \* MERGEFORMAT </w:instrText>
                          </w:r>
                          <w:r>
                            <w:fldChar w:fldCharType="separate"/>
                          </w:r>
                          <w:r>
                            <w:t>10</w:t>
                          </w:r>
                          <w:r>
                            <w:fldChar w:fldCharType="end"/>
                          </w:r>
                        </w:p>
                      </w:txbxContent>
                    </wps:txbx>
                    <wps:bodyPr vert="horz" wrap="none" lIns="0" tIns="0" rIns="0" bIns="0" anchor="t" anchorCtr="0" upright="1">
                      <a:spAutoFit/>
                    </wps:bodyPr>
                  </wps:wsp>
                </a:graphicData>
              </a:graphic>
            </wp:anchor>
          </w:drawing>
        </mc:Choice>
        <mc:Fallback>
          <w:pict>
            <v:rect id="文本框 9"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aRerNAAAAADAQAADwAAAAAAAAABACAAAAAiAAAAZHJzL2Rvd25yZXYu&#10;eG1sUEsBAhQAFAAAAAgAh07iQMgYHAkDAgAA9AMAAA4AAAAAAAAAAQAgAAAAHwEAAGRycy9lMm9E&#10;b2MueG1sUEsFBgAAAAAGAAYAWQEAAJQFAAAAAA==&#10;">
              <v:fill on="f" focussize="0,0"/>
              <v:stroke on="f" joinstyle="round"/>
              <v:imagedata o:title=""/>
              <o:lock v:ext="edit" aspectratio="f"/>
              <v:textbox inset="0mm,0mm,0mm,0mm" style="mso-fit-shape-to-text:t;">
                <w:txbxContent>
                  <w:p w14:paraId="633A3BE0">
                    <w:pPr>
                      <w:pStyle w:val="18"/>
                    </w:pPr>
                    <w:r>
                      <w:fldChar w:fldCharType="begin"/>
                    </w:r>
                    <w:r>
                      <w:instrText xml:space="preserve"> PAGE  \* MERGEFORMAT </w:instrText>
                    </w:r>
                    <w:r>
                      <w:fldChar w:fldCharType="separate"/>
                    </w:r>
                    <w:r>
                      <w:t>10</w:t>
                    </w:r>
                    <w:r>
                      <w:fldChar w:fldCharType="end"/>
                    </w:r>
                  </w:p>
                </w:txbxContent>
              </v:textbox>
            </v:rect>
          </w:pict>
        </mc:Fallback>
      </mc:AlternateContent>
    </w:r>
  </w:p>
  <w:p w14:paraId="4D8FD819">
    <w:pPr>
      <w:pStyle w:val="18"/>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6F64E">
    <w:pPr>
      <w:pStyle w:val="18"/>
      <w:jc w:val="center"/>
      <w:rPr>
        <w:rStyle w:val="60"/>
      </w:rPr>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0" name="文本框 12"/>
              <wp:cNvGraphicFramePr/>
              <a:graphic xmlns:a="http://schemas.openxmlformats.org/drawingml/2006/main">
                <a:graphicData uri="http://schemas.microsoft.com/office/word/2010/wordprocessingShape">
                  <wps:wsp>
                    <wps:cNvSpPr/>
                    <wps:spPr>
                      <a:xfrm>
                        <a:off x="0" y="0"/>
                        <a:ext cx="114935" cy="131445"/>
                      </a:xfrm>
                      <a:prstGeom prst="rect">
                        <a:avLst/>
                      </a:prstGeom>
                      <a:noFill/>
                      <a:ln w="9525" cap="flat" cmpd="sng">
                        <a:noFill/>
                        <a:prstDash val="solid"/>
                        <a:round/>
                      </a:ln>
                    </wps:spPr>
                    <wps:txbx>
                      <w:txbxContent>
                        <w:p w14:paraId="638D7202">
                          <w:pPr>
                            <w:pStyle w:val="18"/>
                          </w:pPr>
                          <w:r>
                            <w:fldChar w:fldCharType="begin"/>
                          </w:r>
                          <w:r>
                            <w:instrText xml:space="preserve"> PAGE  \* MERGEFORMAT </w:instrText>
                          </w:r>
                          <w:r>
                            <w:fldChar w:fldCharType="separate"/>
                          </w:r>
                          <w:r>
                            <w:t>30</w:t>
                          </w:r>
                          <w:r>
                            <w:fldChar w:fldCharType="end"/>
                          </w:r>
                        </w:p>
                      </w:txbxContent>
                    </wps:txbx>
                    <wps:bodyPr vert="horz" wrap="none" lIns="0" tIns="0" rIns="0" bIns="0" anchor="t" anchorCtr="0" upright="1">
                      <a:spAutoFit/>
                    </wps:bodyPr>
                  </wps:wsp>
                </a:graphicData>
              </a:graphic>
            </wp:anchor>
          </w:drawing>
        </mc:Choice>
        <mc:Fallback>
          <w:pict>
            <v:rect id="文本框 12" o:spid="_x0000_s1026" o:spt="1"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L/SwtAAAAADAQAADwAAAAAAAAABACAAAAAiAAAAZHJzL2Rvd25yZXYu&#10;eG1sUEsBAhQAFAAAAAgAh07iQEgaohQDAgAA9gMAAA4AAAAAAAAAAQAgAAAAHwEAAGRycy9lMm9E&#10;b2MueG1sUEsFBgAAAAAGAAYAWQEAAJQFAAAAAA==&#10;">
              <v:fill on="f" focussize="0,0"/>
              <v:stroke on="f" joinstyle="round"/>
              <v:imagedata o:title=""/>
              <o:lock v:ext="edit" aspectratio="f"/>
              <v:textbox inset="0mm,0mm,0mm,0mm" style="mso-fit-shape-to-text:t;">
                <w:txbxContent>
                  <w:p w14:paraId="638D7202">
                    <w:pPr>
                      <w:pStyle w:val="18"/>
                    </w:pPr>
                    <w:r>
                      <w:fldChar w:fldCharType="begin"/>
                    </w:r>
                    <w:r>
                      <w:instrText xml:space="preserve"> PAGE  \* MERGEFORMAT </w:instrText>
                    </w:r>
                    <w:r>
                      <w:fldChar w:fldCharType="separate"/>
                    </w:r>
                    <w:r>
                      <w:t>30</w:t>
                    </w:r>
                    <w:r>
                      <w:fldChar w:fldCharType="end"/>
                    </w:r>
                  </w:p>
                </w:txbxContent>
              </v:textbox>
            </v:rect>
          </w:pict>
        </mc:Fallback>
      </mc:AlternateContent>
    </w:r>
  </w:p>
  <w:p w14:paraId="0AB0F906">
    <w:pPr>
      <w:pStyle w:val="18"/>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B8224">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1BC01">
    <w:pPr>
      <w:pStyle w:val="19"/>
      <w:framePr w:wrap="around" w:vAnchor="margin" w:hAnchor="text" w:xAlign="right" w:y="1"/>
      <w:rPr>
        <w:rStyle w:val="60"/>
      </w:rPr>
    </w:pPr>
  </w:p>
  <w:p w14:paraId="5E75D864">
    <w:pPr>
      <w:pStyle w:val="19"/>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F18FB">
    <w:pPr>
      <w:pStyle w:val="106"/>
      <w:spacing w:line="480" w:lineRule="auto"/>
      <w:ind w:firstLine="829" w:firstLineChars="344"/>
      <w:rPr>
        <w:rFonts w:cs="Times New Roman"/>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3E8CC">
    <w:pPr>
      <w:snapToGrid w:val="0"/>
      <w:jc w:val="right"/>
      <w:rPr>
        <w:sz w:val="18"/>
        <w:szCs w:val="18"/>
      </w:rPr>
    </w:pPr>
    <w:r>
      <w:rPr>
        <w:rFonts w:hint="eastAsia" w:ascii="宋体" w:cs="宋体"/>
        <w:color w:val="000000"/>
        <w:sz w:val="18"/>
        <w:szCs w:val="18"/>
        <w:shd w:val="clear" w:color="auto" w:fill="FFFFFF"/>
        <w:lang w:eastAsia="zh-CN"/>
      </w:rPr>
      <w:t>巨化集团有限公司2025年度危险废物处置利用入围服务商项目</w:t>
    </w:r>
    <w:r>
      <w:rPr>
        <w:rFonts w:hint="eastAsia" w:ascii="宋体" w:cs="宋体"/>
        <w:color w:val="000000"/>
        <w:sz w:val="18"/>
        <w:szCs w:val="18"/>
        <w:shd w:val="clear" w:color="auto" w:fill="FFFFFF"/>
      </w:rPr>
      <w:t>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67D11">
    <w:pPr>
      <w:pStyle w:val="19"/>
      <w:jc w:val="right"/>
      <w:rPr>
        <w:i/>
      </w:rPr>
    </w:pPr>
    <w:r>
      <w:rPr>
        <w:i/>
      </w:rPr>
      <w:t>衢州衢化宾馆临时用房建筑工程招标文件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B2168"/>
    <w:multiLevelType w:val="singleLevel"/>
    <w:tmpl w:val="D1BB2168"/>
    <w:lvl w:ilvl="0" w:tentative="0">
      <w:start w:val="8"/>
      <w:numFmt w:val="decimal"/>
      <w:lvlText w:val="%1."/>
      <w:lvlJc w:val="left"/>
      <w:pPr>
        <w:tabs>
          <w:tab w:val="left" w:pos="0"/>
        </w:tabs>
        <w:ind w:left="0" w:firstLine="0"/>
      </w:pPr>
    </w:lvl>
  </w:abstractNum>
  <w:abstractNum w:abstractNumId="1">
    <w:nsid w:val="D31D6303"/>
    <w:multiLevelType w:val="multilevel"/>
    <w:tmpl w:val="D31D6303"/>
    <w:lvl w:ilvl="0" w:tentative="0">
      <w:start w:val="1"/>
      <w:numFmt w:val="decimal"/>
      <w:pStyle w:val="120"/>
      <w:suff w:val="nothing"/>
      <w:lvlText w:val="%1　"/>
      <w:lvlJc w:val="left"/>
      <w:pPr>
        <w:tabs>
          <w:tab w:val="left" w:pos="0"/>
        </w:tabs>
        <w:ind w:left="0" w:firstLine="0"/>
      </w:pPr>
      <w:rPr>
        <w:b w:val="0"/>
        <w:bCs/>
      </w:rPr>
    </w:lvl>
    <w:lvl w:ilvl="1" w:tentative="0">
      <w:start w:val="1"/>
      <w:numFmt w:val="decimal"/>
      <w:suff w:val="nothing"/>
      <w:lvlText w:val="%1.%2　"/>
      <w:lvlJc w:val="left"/>
      <w:pPr>
        <w:tabs>
          <w:tab w:val="left" w:pos="0"/>
        </w:tabs>
        <w:ind w:left="0" w:firstLine="0"/>
      </w:pPr>
      <w:rPr>
        <w:b w:val="0"/>
        <w:bCs w:val="0"/>
        <w:i w:val="0"/>
        <w:iCs w:val="0"/>
        <w:caps w:val="0"/>
        <w:smallCaps w:val="0"/>
        <w:strike w:val="0"/>
        <w:dstrike w:val="0"/>
        <w:vanish w:val="0"/>
        <w:color w:val="000000"/>
        <w:spacing w:val="0"/>
        <w:position w:val="0"/>
        <w:u w:val="none"/>
        <w:vertAlign w:val="baseline"/>
      </w:rPr>
    </w:lvl>
    <w:lvl w:ilvl="2" w:tentative="0">
      <w:start w:val="1"/>
      <w:numFmt w:val="decimal"/>
      <w:suff w:val="nothing"/>
      <w:lvlText w:val="%1.%2.%3　"/>
      <w:lvlJc w:val="left"/>
      <w:pPr>
        <w:tabs>
          <w:tab w:val="left" w:pos="0"/>
        </w:tabs>
        <w:ind w:left="709" w:hanging="709"/>
      </w:pPr>
      <w:rPr>
        <w:b w:val="0"/>
        <w:bCs w:val="0"/>
        <w:i w:val="0"/>
        <w:iCs w:val="0"/>
        <w:caps w:val="0"/>
        <w:smallCaps w:val="0"/>
        <w:strike w:val="0"/>
        <w:dstrike w:val="0"/>
        <w:vanish w:val="0"/>
        <w:color w:val="000000"/>
        <w:spacing w:val="0"/>
        <w:position w:val="0"/>
        <w:u w:val="none"/>
        <w:vertAlign w:val="baseline"/>
      </w:rPr>
    </w:lvl>
    <w:lvl w:ilvl="3" w:tentative="0">
      <w:start w:val="1"/>
      <w:numFmt w:val="decimal"/>
      <w:suff w:val="nothing"/>
      <w:lvlText w:val="%1.%2.%3.%4　"/>
      <w:lvlJc w:val="left"/>
      <w:pPr>
        <w:tabs>
          <w:tab w:val="left" w:pos="0"/>
        </w:tabs>
        <w:ind w:left="851" w:hanging="851"/>
      </w:pPr>
    </w:lvl>
    <w:lvl w:ilvl="4" w:tentative="0">
      <w:start w:val="1"/>
      <w:numFmt w:val="decimal"/>
      <w:lvlText w:val="%1.%2.%3.%4.%5."/>
      <w:lvlJc w:val="left"/>
      <w:pPr>
        <w:tabs>
          <w:tab w:val="left" w:pos="0"/>
        </w:tabs>
        <w:ind w:left="992" w:hanging="992"/>
      </w:pPr>
    </w:lvl>
    <w:lvl w:ilvl="5" w:tentative="0">
      <w:start w:val="1"/>
      <w:numFmt w:val="decimal"/>
      <w:lvlText w:val="%1.%2.%3.%4.%5.%6."/>
      <w:lvlJc w:val="left"/>
      <w:pPr>
        <w:tabs>
          <w:tab w:val="left" w:pos="0"/>
        </w:tabs>
        <w:ind w:left="1134" w:hanging="1134"/>
      </w:pPr>
    </w:lvl>
    <w:lvl w:ilvl="6" w:tentative="0">
      <w:start w:val="1"/>
      <w:numFmt w:val="decimal"/>
      <w:lvlText w:val="%1.%2.%3.%4.%5.%6.%7."/>
      <w:lvlJc w:val="left"/>
      <w:pPr>
        <w:tabs>
          <w:tab w:val="left" w:pos="0"/>
        </w:tabs>
        <w:ind w:left="1276" w:hanging="1276"/>
      </w:pPr>
    </w:lvl>
    <w:lvl w:ilvl="7" w:tentative="0">
      <w:start w:val="1"/>
      <w:numFmt w:val="decimal"/>
      <w:lvlText w:val="%1.%2.%3.%4.%5.%6.%7.%8."/>
      <w:lvlJc w:val="left"/>
      <w:pPr>
        <w:tabs>
          <w:tab w:val="left" w:pos="0"/>
        </w:tabs>
        <w:ind w:left="1418" w:hanging="1418"/>
      </w:pPr>
    </w:lvl>
    <w:lvl w:ilvl="8" w:tentative="0">
      <w:start w:val="1"/>
      <w:numFmt w:val="decimal"/>
      <w:lvlText w:val="%1.%2.%3.%4.%5.%6.%7.%8.%9."/>
      <w:lvlJc w:val="left"/>
      <w:pPr>
        <w:tabs>
          <w:tab w:val="left" w:pos="0"/>
        </w:tabs>
        <w:ind w:left="1559" w:hanging="1559"/>
      </w:pPr>
    </w:lvl>
  </w:abstractNum>
  <w:abstractNum w:abstractNumId="2">
    <w:nsid w:val="01598A5A"/>
    <w:multiLevelType w:val="singleLevel"/>
    <w:tmpl w:val="01598A5A"/>
    <w:lvl w:ilvl="0" w:tentative="0">
      <w:start w:val="1"/>
      <w:numFmt w:val="chineseCounting"/>
      <w:suff w:val="space"/>
      <w:lvlText w:val="第%1章"/>
      <w:lvlJc w:val="left"/>
      <w:pPr>
        <w:tabs>
          <w:tab w:val="left" w:pos="0"/>
        </w:tabs>
        <w:ind w:left="3120" w:firstLine="0"/>
      </w:pPr>
    </w:lvl>
  </w:abstractNum>
  <w:abstractNum w:abstractNumId="3">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abstractNum w:abstractNumId="4">
    <w:nsid w:val="22665E8F"/>
    <w:multiLevelType w:val="singleLevel"/>
    <w:tmpl w:val="22665E8F"/>
    <w:lvl w:ilvl="0" w:tentative="0">
      <w:start w:val="1"/>
      <w:numFmt w:val="decimal"/>
      <w:suff w:val="nothing"/>
      <w:lvlText w:val="%1、"/>
      <w:lvlJc w:val="left"/>
      <w:pPr>
        <w:tabs>
          <w:tab w:val="left" w:pos="0"/>
        </w:tabs>
        <w:ind w:left="0" w:firstLine="0"/>
      </w:pPr>
    </w:lvl>
  </w:abstractNum>
  <w:abstractNum w:abstractNumId="5">
    <w:nsid w:val="2D9B51B2"/>
    <w:multiLevelType w:val="multilevel"/>
    <w:tmpl w:val="2D9B51B2"/>
    <w:lvl w:ilvl="0" w:tentative="0">
      <w:start w:val="1"/>
      <w:numFmt w:val="japaneseCounting"/>
      <w:pStyle w:val="104"/>
      <w:lvlText w:val="第%1章"/>
      <w:lvlJc w:val="left"/>
      <w:pPr>
        <w:tabs>
          <w:tab w:val="left" w:pos="0"/>
        </w:tabs>
        <w:ind w:left="2040" w:hanging="960"/>
      </w:pPr>
    </w:lvl>
    <w:lvl w:ilvl="1" w:tentative="0">
      <w:start w:val="9"/>
      <w:numFmt w:val="japaneseCounting"/>
      <w:lvlText w:val="第%1章"/>
      <w:lvlJc w:val="left"/>
      <w:pPr>
        <w:tabs>
          <w:tab w:val="left" w:pos="0"/>
        </w:tabs>
        <w:ind w:left="2340" w:hanging="840"/>
      </w:pPr>
    </w:lvl>
    <w:lvl w:ilvl="2" w:tentative="0">
      <w:start w:val="1"/>
      <w:numFmt w:val="japaneseCounting"/>
      <w:lvlText w:val="（%1）"/>
      <w:lvlJc w:val="left"/>
      <w:pPr>
        <w:tabs>
          <w:tab w:val="left" w:pos="0"/>
        </w:tabs>
        <w:ind w:left="2640" w:hanging="720"/>
      </w:pPr>
    </w:lvl>
    <w:lvl w:ilvl="3" w:tentative="0">
      <w:start w:val="1"/>
      <w:numFmt w:val="japaneseCounting"/>
      <w:lvlText w:val="%1、"/>
      <w:lvlJc w:val="left"/>
      <w:pPr>
        <w:tabs>
          <w:tab w:val="left" w:pos="0"/>
        </w:tabs>
        <w:ind w:left="3060" w:hanging="720"/>
      </w:pPr>
      <w:rPr>
        <w:b w:val="0"/>
        <w:sz w:val="20"/>
      </w:rPr>
    </w:lvl>
    <w:lvl w:ilvl="4" w:tentative="0">
      <w:start w:val="1"/>
      <w:numFmt w:val="lowerLetter"/>
      <w:lvlText w:val="%1)"/>
      <w:lvlJc w:val="left"/>
      <w:pPr>
        <w:tabs>
          <w:tab w:val="left" w:pos="0"/>
        </w:tabs>
        <w:ind w:left="3180" w:hanging="420"/>
      </w:pPr>
    </w:lvl>
    <w:lvl w:ilvl="5" w:tentative="0">
      <w:start w:val="1"/>
      <w:numFmt w:val="lowerRoman"/>
      <w:lvlText w:val="%1."/>
      <w:lvlJc w:val="right"/>
      <w:pPr>
        <w:tabs>
          <w:tab w:val="left" w:pos="0"/>
        </w:tabs>
        <w:ind w:left="3600" w:hanging="420"/>
      </w:pPr>
    </w:lvl>
    <w:lvl w:ilvl="6" w:tentative="0">
      <w:start w:val="1"/>
      <w:numFmt w:val="decimal"/>
      <w:lvlText w:val="%1."/>
      <w:lvlJc w:val="left"/>
      <w:pPr>
        <w:tabs>
          <w:tab w:val="left" w:pos="0"/>
        </w:tabs>
        <w:ind w:left="4020" w:hanging="420"/>
      </w:pPr>
    </w:lvl>
    <w:lvl w:ilvl="7" w:tentative="0">
      <w:start w:val="1"/>
      <w:numFmt w:val="lowerLetter"/>
      <w:lvlText w:val="%1)"/>
      <w:lvlJc w:val="left"/>
      <w:pPr>
        <w:tabs>
          <w:tab w:val="left" w:pos="0"/>
        </w:tabs>
        <w:ind w:left="4440" w:hanging="420"/>
      </w:pPr>
    </w:lvl>
    <w:lvl w:ilvl="8" w:tentative="0">
      <w:start w:val="1"/>
      <w:numFmt w:val="lowerRoman"/>
      <w:lvlText w:val="%1."/>
      <w:lvlJc w:val="right"/>
      <w:pPr>
        <w:tabs>
          <w:tab w:val="left" w:pos="0"/>
        </w:tabs>
        <w:ind w:left="4860" w:hanging="420"/>
      </w:pPr>
    </w:lvl>
  </w:abstractNum>
  <w:abstractNum w:abstractNumId="6">
    <w:nsid w:val="333FADBD"/>
    <w:multiLevelType w:val="singleLevel"/>
    <w:tmpl w:val="333FADBD"/>
    <w:lvl w:ilvl="0" w:tentative="0">
      <w:start w:val="1"/>
      <w:numFmt w:val="decimal"/>
      <w:suff w:val="nothing"/>
      <w:lvlText w:val="%1、"/>
      <w:lvlJc w:val="left"/>
      <w:pPr>
        <w:tabs>
          <w:tab w:val="left" w:pos="0"/>
        </w:tabs>
        <w:ind w:left="0" w:firstLine="0"/>
      </w:pPr>
    </w:lvl>
  </w:abstractNum>
  <w:abstractNum w:abstractNumId="7">
    <w:nsid w:val="667E3C6A"/>
    <w:multiLevelType w:val="multilevel"/>
    <w:tmpl w:val="667E3C6A"/>
    <w:lvl w:ilvl="0" w:tentative="0">
      <w:start w:val="1"/>
      <w:numFmt w:val="decimal"/>
      <w:pStyle w:val="100"/>
      <w:lvlText w:val="施-%1"/>
      <w:lvlJc w:val="center"/>
      <w:pPr>
        <w:tabs>
          <w:tab w:val="left" w:pos="0"/>
        </w:tabs>
        <w:ind w:left="420" w:hanging="132"/>
      </w:pPr>
      <w:rPr>
        <w:b/>
        <w:i w:val="0"/>
        <w:sz w:val="24"/>
      </w:rPr>
    </w:lvl>
    <w:lvl w:ilvl="1" w:tentative="0">
      <w:start w:val="1"/>
      <w:numFmt w:val="lowerLetter"/>
      <w:lvlText w:val="%1)"/>
      <w:lvlJc w:val="left"/>
      <w:pPr>
        <w:tabs>
          <w:tab w:val="left" w:pos="0"/>
        </w:tabs>
        <w:ind w:left="840" w:hanging="420"/>
      </w:pPr>
    </w:lvl>
    <w:lvl w:ilvl="2" w:tentative="0">
      <w:start w:val="1"/>
      <w:numFmt w:val="lowerRoman"/>
      <w:lvlText w:val="%1."/>
      <w:lvlJc w:val="right"/>
      <w:pPr>
        <w:tabs>
          <w:tab w:val="left" w:pos="0"/>
        </w:tabs>
        <w:ind w:left="1260" w:hanging="420"/>
      </w:pPr>
    </w:lvl>
    <w:lvl w:ilvl="3" w:tentative="0">
      <w:start w:val="1"/>
      <w:numFmt w:val="decimal"/>
      <w:lvlText w:val="%1."/>
      <w:lvlJc w:val="left"/>
      <w:pPr>
        <w:tabs>
          <w:tab w:val="left" w:pos="0"/>
        </w:tabs>
        <w:ind w:left="1680" w:hanging="420"/>
      </w:pPr>
    </w:lvl>
    <w:lvl w:ilvl="4" w:tentative="0">
      <w:start w:val="1"/>
      <w:numFmt w:val="lowerLetter"/>
      <w:lvlText w:val="%1)"/>
      <w:lvlJc w:val="left"/>
      <w:pPr>
        <w:tabs>
          <w:tab w:val="left" w:pos="0"/>
        </w:tabs>
        <w:ind w:left="2100" w:hanging="420"/>
      </w:pPr>
    </w:lvl>
    <w:lvl w:ilvl="5" w:tentative="0">
      <w:start w:val="1"/>
      <w:numFmt w:val="lowerRoman"/>
      <w:lvlText w:val="%1."/>
      <w:lvlJc w:val="right"/>
      <w:pPr>
        <w:tabs>
          <w:tab w:val="left" w:pos="0"/>
        </w:tabs>
        <w:ind w:left="2520" w:hanging="420"/>
      </w:pPr>
    </w:lvl>
    <w:lvl w:ilvl="6" w:tentative="0">
      <w:start w:val="1"/>
      <w:numFmt w:val="decimal"/>
      <w:lvlText w:val="%1."/>
      <w:lvlJc w:val="left"/>
      <w:pPr>
        <w:tabs>
          <w:tab w:val="left" w:pos="0"/>
        </w:tabs>
        <w:ind w:left="2940" w:hanging="420"/>
      </w:pPr>
    </w:lvl>
    <w:lvl w:ilvl="7" w:tentative="0">
      <w:start w:val="1"/>
      <w:numFmt w:val="lowerLetter"/>
      <w:lvlText w:val="%1)"/>
      <w:lvlJc w:val="left"/>
      <w:pPr>
        <w:tabs>
          <w:tab w:val="left" w:pos="0"/>
        </w:tabs>
        <w:ind w:left="3360" w:hanging="420"/>
      </w:pPr>
    </w:lvl>
    <w:lvl w:ilvl="8" w:tentative="0">
      <w:start w:val="1"/>
      <w:numFmt w:val="lowerRoman"/>
      <w:lvlText w:val="%1."/>
      <w:lvlJc w:val="right"/>
      <w:pPr>
        <w:tabs>
          <w:tab w:val="left" w:pos="0"/>
        </w:tabs>
        <w:ind w:left="3780" w:hanging="420"/>
      </w:pPr>
    </w:lvl>
  </w:abstractNum>
  <w:abstractNum w:abstractNumId="8">
    <w:nsid w:val="6B14CF66"/>
    <w:multiLevelType w:val="singleLevel"/>
    <w:tmpl w:val="6B14CF66"/>
    <w:lvl w:ilvl="0" w:tentative="0">
      <w:start w:val="1"/>
      <w:numFmt w:val="decimal"/>
      <w:pStyle w:val="44"/>
      <w:lvlText w:val="%1."/>
      <w:lvlJc w:val="left"/>
      <w:pPr>
        <w:tabs>
          <w:tab w:val="left" w:pos="0"/>
        </w:tabs>
        <w:ind w:left="360" w:hanging="360"/>
      </w:pPr>
    </w:lvl>
  </w:abstractNum>
  <w:num w:numId="1">
    <w:abstractNumId w:val="8"/>
  </w:num>
  <w:num w:numId="2">
    <w:abstractNumId w:val="7"/>
  </w:num>
  <w:num w:numId="3">
    <w:abstractNumId w:val="5"/>
  </w:num>
  <w:num w:numId="4">
    <w:abstractNumId w:val="1"/>
  </w:num>
  <w:num w:numId="5">
    <w:abstractNumId w:val="0"/>
  </w:num>
  <w:num w:numId="6">
    <w:abstractNumId w:val="2"/>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doNotUseMarginsForDrawingGridOrigin w:val="1"/>
  <w:drawingGridHorizontalOrigin w:val="1800"/>
  <w:drawingGridVerticalOrigin w:val="1440"/>
  <w:noPunctuationKerning w:val="1"/>
  <w:compat>
    <w:spaceForUL/>
    <w:balanceSingleByteDoubleByteWidth/>
    <w:doNotExpandShiftReturn/>
    <w:adjustLineHeightInTable/>
    <w:useFELayout/>
    <w:doNotUseIndentAsNumberingTabStop/>
    <w:compatSetting w:name="compatibilityMode" w:uri="http://schemas.microsoft.com/office/word" w:val="14"/>
  </w:compat>
  <w:docVars>
    <w:docVar w:name="commondata" w:val="eyJoZGlkIjoiMTIyOTkzZGI3YTQ0YmQ1MzM5ZDJlNjY2ZmJmN2E0NDgifQ=="/>
  </w:docVars>
  <w:rsids>
    <w:rsidRoot w:val="00000000"/>
    <w:rsid w:val="0F7D081D"/>
    <w:rsid w:val="11B41BEC"/>
    <w:rsid w:val="12E7373C"/>
    <w:rsid w:val="1A1A4A8A"/>
    <w:rsid w:val="546A28C6"/>
    <w:rsid w:val="59F31D20"/>
    <w:rsid w:val="69961C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uiPriority w:val="0"/>
    <w:pPr>
      <w:jc w:val="both"/>
      <w:textAlignment w:val="baseline"/>
    </w:pPr>
    <w:rPr>
      <w:rFonts w:ascii="Times New Roman" w:hAnsi="Times New Roman" w:eastAsia="宋体" w:cs="Arial"/>
      <w:kern w:val="2"/>
      <w:sz w:val="21"/>
      <w:szCs w:val="24"/>
      <w:lang w:val="en-US" w:eastAsia="zh-CN" w:bidi="ar-SA"/>
    </w:rPr>
  </w:style>
  <w:style w:type="paragraph" w:styleId="6">
    <w:name w:val="heading 1"/>
    <w:basedOn w:val="1"/>
    <w:next w:val="1"/>
    <w:autoRedefine/>
    <w:uiPriority w:val="0"/>
    <w:pPr>
      <w:keepNext/>
      <w:keepLines/>
      <w:spacing w:line="578" w:lineRule="auto"/>
      <w:outlineLvl w:val="0"/>
    </w:pPr>
    <w:rPr>
      <w:b/>
      <w:bCs/>
      <w:kern w:val="44"/>
      <w:sz w:val="44"/>
      <w:szCs w:val="44"/>
    </w:rPr>
  </w:style>
  <w:style w:type="paragraph" w:styleId="7">
    <w:name w:val="heading 2"/>
    <w:basedOn w:val="1"/>
    <w:next w:val="1"/>
    <w:link w:val="29"/>
    <w:autoRedefine/>
    <w:qFormat/>
    <w:uiPriority w:val="0"/>
    <w:pPr>
      <w:spacing w:before="360" w:after="120" w:line="360" w:lineRule="auto"/>
      <w:ind w:left="-5"/>
      <w:jc w:val="center"/>
      <w:outlineLvl w:val="1"/>
    </w:pPr>
    <w:rPr>
      <w:rFonts w:eastAsia="黑体" w:cs="Times New Roman"/>
      <w:b/>
      <w:sz w:val="32"/>
      <w:szCs w:val="20"/>
    </w:rPr>
  </w:style>
  <w:style w:type="paragraph" w:styleId="8">
    <w:name w:val="heading 3"/>
    <w:basedOn w:val="1"/>
    <w:next w:val="1"/>
    <w:autoRedefine/>
    <w:qFormat/>
    <w:uiPriority w:val="0"/>
    <w:pPr>
      <w:keepNext/>
      <w:keepLines/>
      <w:spacing w:before="260" w:after="260" w:line="415" w:lineRule="auto"/>
      <w:outlineLvl w:val="2"/>
    </w:pPr>
    <w:rPr>
      <w:b/>
      <w:bCs/>
      <w:sz w:val="32"/>
      <w:szCs w:val="32"/>
    </w:rPr>
  </w:style>
  <w:style w:type="paragraph" w:styleId="9">
    <w:name w:val="heading 4"/>
    <w:basedOn w:val="1"/>
    <w:next w:val="1"/>
    <w:autoRedefine/>
    <w:qFormat/>
    <w:uiPriority w:val="0"/>
    <w:pPr>
      <w:keepNext/>
      <w:keepLines/>
      <w:spacing w:before="280" w:after="290" w:line="377" w:lineRule="auto"/>
      <w:outlineLvl w:val="3"/>
    </w:pPr>
    <w:rPr>
      <w:rFonts w:ascii="Arial" w:hAnsi="Arial" w:eastAsia="黑体"/>
      <w:b/>
      <w:bCs/>
      <w:sz w:val="28"/>
      <w:szCs w:val="28"/>
    </w:rPr>
  </w:style>
  <w:style w:type="paragraph" w:styleId="10">
    <w:name w:val="heading 8"/>
    <w:basedOn w:val="1"/>
    <w:next w:val="1"/>
    <w:autoRedefine/>
    <w:qFormat/>
    <w:uiPriority w:val="0"/>
    <w:pPr>
      <w:keepNext/>
      <w:keepLines/>
      <w:spacing w:before="240" w:after="64" w:line="319" w:lineRule="auto"/>
      <w:outlineLvl w:val="7"/>
    </w:pPr>
    <w:rPr>
      <w:rFonts w:ascii="Cambria" w:hAnsi="Cambria"/>
      <w:sz w:val="24"/>
    </w:rPr>
  </w:style>
  <w:style w:type="character" w:default="1" w:styleId="24">
    <w:name w:val="Default Paragraph Font"/>
    <w:autoRedefine/>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autoRedefine/>
    <w:qFormat/>
    <w:uiPriority w:val="0"/>
    <w:pPr>
      <w:tabs>
        <w:tab w:val="left" w:pos="435"/>
      </w:tabs>
      <w:ind w:firstLine="200" w:firstLineChars="200"/>
    </w:pPr>
    <w:rPr>
      <w:sz w:val="28"/>
    </w:rPr>
  </w:style>
  <w:style w:type="paragraph" w:styleId="3">
    <w:name w:val="Body Text Indent"/>
    <w:basedOn w:val="1"/>
    <w:next w:val="1"/>
    <w:autoRedefine/>
    <w:qFormat/>
    <w:uiPriority w:val="0"/>
    <w:pPr>
      <w:overflowPunct w:val="0"/>
      <w:autoSpaceDE w:val="0"/>
      <w:autoSpaceDN w:val="0"/>
      <w:spacing w:line="360" w:lineRule="auto"/>
      <w:ind w:firstLine="540"/>
    </w:pPr>
    <w:rPr>
      <w:rFonts w:ascii="宋体"/>
      <w:spacing w:val="12"/>
      <w:szCs w:val="20"/>
    </w:rPr>
  </w:style>
  <w:style w:type="paragraph" w:styleId="4">
    <w:name w:val="Body Text First Indent"/>
    <w:basedOn w:val="5"/>
    <w:next w:val="1"/>
    <w:autoRedefine/>
    <w:qFormat/>
    <w:uiPriority w:val="0"/>
    <w:pPr>
      <w:tabs>
        <w:tab w:val="left" w:pos="574"/>
      </w:tabs>
      <w:spacing w:after="120" w:line="240" w:lineRule="auto"/>
      <w:ind w:firstLine="100" w:firstLineChars="100"/>
    </w:pPr>
    <w:rPr>
      <w:rFonts w:ascii="Times New Roman" w:hAnsi="Times New Roman"/>
      <w:szCs w:val="24"/>
    </w:rPr>
  </w:style>
  <w:style w:type="paragraph" w:styleId="5">
    <w:name w:val="Body Text"/>
    <w:basedOn w:val="1"/>
    <w:next w:val="4"/>
    <w:autoRedefine/>
    <w:qFormat/>
    <w:uiPriority w:val="0"/>
    <w:pPr>
      <w:tabs>
        <w:tab w:val="left" w:pos="574"/>
      </w:tabs>
      <w:spacing w:line="288" w:lineRule="auto"/>
    </w:pPr>
    <w:rPr>
      <w:rFonts w:ascii="宋体"/>
      <w:szCs w:val="20"/>
    </w:rPr>
  </w:style>
  <w:style w:type="paragraph" w:styleId="11">
    <w:name w:val="Normal Indent"/>
    <w:basedOn w:val="1"/>
    <w:next w:val="3"/>
    <w:autoRedefine/>
    <w:qFormat/>
    <w:uiPriority w:val="0"/>
    <w:pPr>
      <w:ind w:firstLine="200" w:firstLineChars="200"/>
    </w:pPr>
  </w:style>
  <w:style w:type="paragraph" w:styleId="12">
    <w:name w:val="toa heading"/>
    <w:basedOn w:val="1"/>
    <w:next w:val="1"/>
    <w:autoRedefine/>
    <w:qFormat/>
    <w:uiPriority w:val="0"/>
    <w:pPr>
      <w:spacing w:before="120"/>
    </w:pPr>
    <w:rPr>
      <w:rFonts w:ascii="Arial" w:hAnsi="Arial"/>
      <w:sz w:val="24"/>
    </w:rPr>
  </w:style>
  <w:style w:type="paragraph" w:styleId="13">
    <w:name w:val="List 2"/>
    <w:basedOn w:val="1"/>
    <w:autoRedefine/>
    <w:qFormat/>
    <w:uiPriority w:val="0"/>
    <w:pPr>
      <w:ind w:left="400" w:leftChars="200" w:hanging="200" w:hangingChars="200"/>
    </w:pPr>
  </w:style>
  <w:style w:type="paragraph" w:styleId="14">
    <w:name w:val="Plain Text"/>
    <w:basedOn w:val="1"/>
    <w:autoRedefine/>
    <w:qFormat/>
    <w:uiPriority w:val="0"/>
    <w:pPr>
      <w:spacing w:before="50" w:beforeLines="50" w:after="50" w:afterLines="50" w:line="400" w:lineRule="exact"/>
    </w:pPr>
    <w:rPr>
      <w:rFonts w:ascii="宋体"/>
      <w:sz w:val="24"/>
    </w:rPr>
  </w:style>
  <w:style w:type="paragraph" w:styleId="15">
    <w:name w:val="Date"/>
    <w:basedOn w:val="1"/>
    <w:next w:val="1"/>
    <w:autoRedefine/>
    <w:qFormat/>
    <w:uiPriority w:val="0"/>
    <w:rPr>
      <w:sz w:val="24"/>
      <w:szCs w:val="20"/>
    </w:rPr>
  </w:style>
  <w:style w:type="paragraph" w:styleId="16">
    <w:name w:val="Body Text Indent 2"/>
    <w:basedOn w:val="1"/>
    <w:autoRedefine/>
    <w:qFormat/>
    <w:uiPriority w:val="0"/>
    <w:pPr>
      <w:ind w:right="-24" w:firstLine="504"/>
    </w:pPr>
    <w:rPr>
      <w:sz w:val="24"/>
    </w:rPr>
  </w:style>
  <w:style w:type="paragraph" w:styleId="17">
    <w:name w:val="Balloon Text"/>
    <w:basedOn w:val="1"/>
    <w:autoRedefine/>
    <w:qFormat/>
    <w:uiPriority w:val="0"/>
    <w:rPr>
      <w:sz w:val="18"/>
      <w:szCs w:val="18"/>
    </w:rPr>
  </w:style>
  <w:style w:type="paragraph" w:styleId="18">
    <w:name w:val="footer"/>
    <w:basedOn w:val="1"/>
    <w:autoRedefine/>
    <w:qFormat/>
    <w:uiPriority w:val="0"/>
    <w:pPr>
      <w:tabs>
        <w:tab w:val="center" w:pos="4153"/>
        <w:tab w:val="right" w:pos="8306"/>
      </w:tabs>
      <w:snapToGrid w:val="0"/>
      <w:jc w:val="left"/>
    </w:pPr>
    <w:rPr>
      <w:kern w:val="0"/>
      <w:sz w:val="18"/>
      <w:szCs w:val="20"/>
    </w:rPr>
  </w:style>
  <w:style w:type="paragraph" w:styleId="19">
    <w:name w:val="header"/>
    <w:basedOn w:val="1"/>
    <w:autoRedefine/>
    <w:qFormat/>
    <w:uiPriority w:val="0"/>
    <w:pPr>
      <w:pBdr>
        <w:bottom w:val="single" w:color="000000" w:sz="6" w:space="1"/>
      </w:pBdr>
      <w:tabs>
        <w:tab w:val="center" w:pos="4153"/>
        <w:tab w:val="right" w:pos="8306"/>
      </w:tabs>
      <w:snapToGrid w:val="0"/>
      <w:jc w:val="center"/>
    </w:pPr>
    <w:rPr>
      <w:kern w:val="0"/>
      <w:sz w:val="18"/>
      <w:szCs w:val="20"/>
    </w:rPr>
  </w:style>
  <w:style w:type="paragraph" w:styleId="20">
    <w:name w:val="List"/>
    <w:basedOn w:val="1"/>
    <w:autoRedefine/>
    <w:qFormat/>
    <w:uiPriority w:val="0"/>
    <w:pPr>
      <w:ind w:left="200" w:hanging="200" w:hangingChars="200"/>
    </w:pPr>
  </w:style>
  <w:style w:type="paragraph" w:styleId="21">
    <w:name w:val="Normal (Web)"/>
    <w:basedOn w:val="1"/>
    <w:next w:val="5"/>
    <w:autoRedefine/>
    <w:qFormat/>
    <w:uiPriority w:val="0"/>
    <w:pPr>
      <w:spacing w:before="100" w:beforeAutospacing="1" w:after="100" w:afterAutospacing="1"/>
      <w:jc w:val="left"/>
    </w:pPr>
    <w:rPr>
      <w:rFonts w:ascii="宋体" w:cs="宋体"/>
      <w:kern w:val="0"/>
      <w:sz w:val="24"/>
    </w:rPr>
  </w:style>
  <w:style w:type="paragraph" w:styleId="22">
    <w:name w:val="Title"/>
    <w:basedOn w:val="1"/>
    <w:next w:val="1"/>
    <w:autoRedefine/>
    <w:qFormat/>
    <w:uiPriority w:val="0"/>
    <w:pPr>
      <w:spacing w:before="240" w:after="60"/>
      <w:jc w:val="center"/>
      <w:outlineLvl w:val="0"/>
    </w:pPr>
    <w:rPr>
      <w:rFonts w:ascii="Arial" w:hAnsi="Arial"/>
      <w:b/>
      <w:bCs/>
      <w:sz w:val="32"/>
      <w:szCs w:val="32"/>
    </w:rPr>
  </w:style>
  <w:style w:type="character" w:styleId="25">
    <w:name w:val="Strong"/>
    <w:autoRedefine/>
    <w:qFormat/>
    <w:uiPriority w:val="0"/>
    <w:rPr>
      <w:b/>
      <w:bCs/>
    </w:rPr>
  </w:style>
  <w:style w:type="character" w:styleId="26">
    <w:name w:val="page number"/>
    <w:qFormat/>
    <w:uiPriority w:val="0"/>
  </w:style>
  <w:style w:type="character" w:styleId="27">
    <w:name w:val="FollowedHyperlink"/>
    <w:autoRedefine/>
    <w:qFormat/>
    <w:uiPriority w:val="0"/>
    <w:rPr>
      <w:color w:val="4D7AD8"/>
    </w:rPr>
  </w:style>
  <w:style w:type="character" w:styleId="28">
    <w:name w:val="Hyperlink"/>
    <w:autoRedefine/>
    <w:qFormat/>
    <w:uiPriority w:val="0"/>
    <w:rPr>
      <w:color w:val="4D7AD8"/>
    </w:rPr>
  </w:style>
  <w:style w:type="character" w:customStyle="1" w:styleId="29">
    <w:name w:val="heading 2 Char"/>
    <w:basedOn w:val="24"/>
    <w:link w:val="7"/>
    <w:autoRedefine/>
    <w:qFormat/>
    <w:uiPriority w:val="0"/>
    <w:rPr>
      <w:rFonts w:ascii="Times New Roman" w:hAnsi="Times New Roman" w:eastAsia="黑体" w:cs="Times New Roman"/>
      <w:b/>
      <w:kern w:val="2"/>
      <w:sz w:val="32"/>
      <w:szCs w:val="20"/>
      <w:lang w:val="en-US" w:eastAsia="zh-CN" w:bidi="ar-SA"/>
    </w:rPr>
  </w:style>
  <w:style w:type="paragraph" w:customStyle="1" w:styleId="30">
    <w:name w:val="font5"/>
    <w:basedOn w:val="1"/>
    <w:autoRedefine/>
    <w:qFormat/>
    <w:uiPriority w:val="0"/>
    <w:pPr>
      <w:spacing w:before="100" w:beforeAutospacing="1" w:after="100" w:afterAutospacing="1"/>
      <w:jc w:val="left"/>
    </w:pPr>
    <w:rPr>
      <w:rFonts w:cs="Arial Unicode MS"/>
      <w:sz w:val="18"/>
      <w:szCs w:val="18"/>
    </w:rPr>
  </w:style>
  <w:style w:type="paragraph" w:customStyle="1" w:styleId="31">
    <w:name w:val="BodyTextIndent"/>
    <w:basedOn w:val="1"/>
    <w:autoRedefine/>
    <w:qFormat/>
    <w:uiPriority w:val="0"/>
    <w:pPr>
      <w:spacing w:after="120"/>
      <w:ind w:left="200" w:leftChars="200"/>
    </w:pPr>
  </w:style>
  <w:style w:type="paragraph" w:customStyle="1" w:styleId="32">
    <w:name w:val="BodyText1I2"/>
    <w:basedOn w:val="31"/>
    <w:next w:val="1"/>
    <w:autoRedefine/>
    <w:qFormat/>
    <w:uiPriority w:val="0"/>
    <w:pPr>
      <w:tabs>
        <w:tab w:val="left" w:pos="435"/>
      </w:tabs>
      <w:ind w:firstLine="200" w:firstLineChars="200"/>
    </w:pPr>
    <w:rPr>
      <w:sz w:val="28"/>
    </w:rPr>
  </w:style>
  <w:style w:type="paragraph" w:customStyle="1" w:styleId="33">
    <w:name w:val="Heading1"/>
    <w:basedOn w:val="1"/>
    <w:next w:val="1"/>
    <w:autoRedefine/>
    <w:qFormat/>
    <w:uiPriority w:val="0"/>
    <w:pPr>
      <w:keepNext/>
      <w:tabs>
        <w:tab w:val="left" w:pos="432"/>
      </w:tabs>
      <w:ind w:left="432" w:hanging="432"/>
      <w:jc w:val="center"/>
    </w:pPr>
    <w:rPr>
      <w:rFonts w:ascii="黑体" w:eastAsia="黑体"/>
      <w:kern w:val="0"/>
      <w:sz w:val="52"/>
      <w:szCs w:val="20"/>
    </w:rPr>
  </w:style>
  <w:style w:type="paragraph" w:customStyle="1" w:styleId="34">
    <w:name w:val="Heading2"/>
    <w:basedOn w:val="1"/>
    <w:next w:val="35"/>
    <w:autoRedefine/>
    <w:qFormat/>
    <w:uiPriority w:val="0"/>
    <w:pPr>
      <w:keepNext/>
      <w:keepLines/>
      <w:spacing w:before="260" w:after="260" w:line="415" w:lineRule="auto"/>
      <w:jc w:val="center"/>
    </w:pPr>
    <w:rPr>
      <w:rFonts w:ascii="Arial" w:hAnsi="Arial" w:eastAsia="黑体"/>
      <w:b/>
      <w:kern w:val="0"/>
      <w:sz w:val="44"/>
      <w:szCs w:val="20"/>
    </w:rPr>
  </w:style>
  <w:style w:type="paragraph" w:customStyle="1" w:styleId="35">
    <w:name w:val="NormalIndent"/>
    <w:basedOn w:val="1"/>
    <w:autoRedefine/>
    <w:qFormat/>
    <w:uiPriority w:val="0"/>
    <w:pPr>
      <w:ind w:firstLine="200" w:firstLineChars="200"/>
    </w:pPr>
  </w:style>
  <w:style w:type="paragraph" w:customStyle="1" w:styleId="36">
    <w:name w:val="Heading3"/>
    <w:basedOn w:val="1"/>
    <w:next w:val="1"/>
    <w:autoRedefine/>
    <w:qFormat/>
    <w:uiPriority w:val="0"/>
    <w:pPr>
      <w:keepNext/>
      <w:keepLines/>
      <w:spacing w:before="260" w:after="260" w:line="415" w:lineRule="auto"/>
    </w:pPr>
    <w:rPr>
      <w:rFonts w:cs="Times New Roman"/>
      <w:b/>
      <w:bCs/>
      <w:sz w:val="32"/>
      <w:szCs w:val="32"/>
    </w:rPr>
  </w:style>
  <w:style w:type="paragraph" w:customStyle="1" w:styleId="37">
    <w:name w:val="Heading4"/>
    <w:basedOn w:val="1"/>
    <w:next w:val="1"/>
    <w:autoRedefine/>
    <w:qFormat/>
    <w:uiPriority w:val="0"/>
    <w:pPr>
      <w:keepNext/>
      <w:keepLines/>
      <w:spacing w:before="280" w:after="290" w:line="377" w:lineRule="auto"/>
    </w:pPr>
    <w:rPr>
      <w:rFonts w:ascii="Arial" w:hAnsi="Arial" w:eastAsia="黑体" w:cs="Times New Roman"/>
      <w:b/>
      <w:bCs/>
      <w:sz w:val="28"/>
      <w:szCs w:val="28"/>
    </w:rPr>
  </w:style>
  <w:style w:type="paragraph" w:customStyle="1" w:styleId="38">
    <w:name w:val="Heading5"/>
    <w:basedOn w:val="1"/>
    <w:next w:val="1"/>
    <w:autoRedefine/>
    <w:qFormat/>
    <w:uiPriority w:val="0"/>
    <w:pPr>
      <w:keepNext/>
      <w:keepLines/>
      <w:spacing w:before="280" w:after="290" w:line="377" w:lineRule="auto"/>
    </w:pPr>
    <w:rPr>
      <w:rFonts w:cs="Times New Roman"/>
      <w:b/>
      <w:bCs/>
      <w:sz w:val="28"/>
      <w:szCs w:val="28"/>
    </w:rPr>
  </w:style>
  <w:style w:type="paragraph" w:customStyle="1" w:styleId="39">
    <w:name w:val="Heading6"/>
    <w:basedOn w:val="1"/>
    <w:next w:val="1"/>
    <w:autoRedefine/>
    <w:qFormat/>
    <w:uiPriority w:val="0"/>
    <w:pPr>
      <w:keepNext/>
      <w:keepLines/>
      <w:tabs>
        <w:tab w:val="left" w:pos="1440"/>
      </w:tabs>
      <w:spacing w:before="240" w:after="64" w:line="319" w:lineRule="auto"/>
      <w:ind w:left="1152" w:hanging="1152"/>
      <w:jc w:val="left"/>
    </w:pPr>
    <w:rPr>
      <w:rFonts w:ascii="Arial" w:hAnsi="Arial" w:eastAsia="黑体" w:cs="Times New Roman"/>
      <w:b/>
      <w:bCs/>
      <w:kern w:val="0"/>
      <w:sz w:val="24"/>
    </w:rPr>
  </w:style>
  <w:style w:type="paragraph" w:customStyle="1" w:styleId="40">
    <w:name w:val="Heading7"/>
    <w:basedOn w:val="1"/>
    <w:next w:val="1"/>
    <w:autoRedefine/>
    <w:qFormat/>
    <w:uiPriority w:val="0"/>
    <w:pPr>
      <w:keepNext/>
      <w:keepLines/>
      <w:tabs>
        <w:tab w:val="left" w:pos="2520"/>
      </w:tabs>
      <w:spacing w:before="240" w:after="64" w:line="319" w:lineRule="auto"/>
      <w:ind w:left="1296" w:hanging="1296"/>
      <w:jc w:val="left"/>
    </w:pPr>
    <w:rPr>
      <w:rFonts w:cs="Times New Roman"/>
      <w:b/>
      <w:bCs/>
      <w:kern w:val="0"/>
      <w:sz w:val="24"/>
    </w:rPr>
  </w:style>
  <w:style w:type="paragraph" w:customStyle="1" w:styleId="41">
    <w:name w:val="Heading8"/>
    <w:basedOn w:val="1"/>
    <w:next w:val="1"/>
    <w:autoRedefine/>
    <w:qFormat/>
    <w:uiPriority w:val="0"/>
    <w:pPr>
      <w:keepNext/>
      <w:keepLines/>
      <w:tabs>
        <w:tab w:val="left" w:pos="1440"/>
      </w:tabs>
      <w:spacing w:before="240" w:after="64" w:line="319" w:lineRule="auto"/>
      <w:ind w:left="1440" w:hanging="1440"/>
      <w:jc w:val="left"/>
    </w:pPr>
    <w:rPr>
      <w:rFonts w:ascii="Arial" w:hAnsi="Arial" w:eastAsia="黑体"/>
      <w:kern w:val="0"/>
      <w:sz w:val="24"/>
    </w:rPr>
  </w:style>
  <w:style w:type="paragraph" w:customStyle="1" w:styleId="42">
    <w:name w:val="Heading9"/>
    <w:basedOn w:val="1"/>
    <w:next w:val="1"/>
    <w:autoRedefine/>
    <w:qFormat/>
    <w:uiPriority w:val="0"/>
    <w:pPr>
      <w:keepNext/>
      <w:keepLines/>
      <w:tabs>
        <w:tab w:val="left" w:pos="1584"/>
      </w:tabs>
      <w:spacing w:before="240" w:after="64" w:line="319" w:lineRule="auto"/>
      <w:ind w:left="1584" w:hanging="1584"/>
      <w:jc w:val="left"/>
    </w:pPr>
    <w:rPr>
      <w:rFonts w:ascii="Arial" w:hAnsi="Arial" w:eastAsia="黑体"/>
      <w:kern w:val="0"/>
      <w:szCs w:val="21"/>
    </w:rPr>
  </w:style>
  <w:style w:type="paragraph" w:customStyle="1" w:styleId="43">
    <w:name w:val="TableOfAuthoring"/>
    <w:basedOn w:val="1"/>
    <w:next w:val="1"/>
    <w:autoRedefine/>
    <w:qFormat/>
    <w:uiPriority w:val="0"/>
    <w:pPr>
      <w:ind w:left="200" w:leftChars="200"/>
    </w:pPr>
  </w:style>
  <w:style w:type="paragraph" w:customStyle="1" w:styleId="44">
    <w:name w:val="ListNumber"/>
    <w:basedOn w:val="1"/>
    <w:autoRedefine/>
    <w:qFormat/>
    <w:uiPriority w:val="0"/>
    <w:pPr>
      <w:numPr>
        <w:ilvl w:val="0"/>
        <w:numId w:val="1"/>
      </w:numPr>
    </w:pPr>
  </w:style>
  <w:style w:type="paragraph" w:customStyle="1" w:styleId="45">
    <w:name w:val="NavPane"/>
    <w:basedOn w:val="1"/>
    <w:autoRedefine/>
    <w:qFormat/>
    <w:uiPriority w:val="0"/>
    <w:pPr>
      <w:shd w:val="clear" w:color="auto" w:fill="000080"/>
    </w:pPr>
  </w:style>
  <w:style w:type="paragraph" w:customStyle="1" w:styleId="46">
    <w:name w:val="AnnotationText"/>
    <w:basedOn w:val="1"/>
    <w:autoRedefine/>
    <w:qFormat/>
    <w:uiPriority w:val="0"/>
    <w:pPr>
      <w:spacing w:line="360" w:lineRule="atLeast"/>
      <w:jc w:val="left"/>
    </w:pPr>
    <w:rPr>
      <w:kern w:val="0"/>
      <w:sz w:val="24"/>
      <w:szCs w:val="20"/>
    </w:rPr>
  </w:style>
  <w:style w:type="paragraph" w:customStyle="1" w:styleId="47">
    <w:name w:val="BodyText"/>
    <w:basedOn w:val="1"/>
    <w:autoRedefine/>
    <w:qFormat/>
    <w:uiPriority w:val="0"/>
    <w:pPr>
      <w:spacing w:after="120"/>
    </w:pPr>
  </w:style>
  <w:style w:type="paragraph" w:customStyle="1" w:styleId="48">
    <w:name w:val="List2"/>
    <w:basedOn w:val="1"/>
    <w:autoRedefine/>
    <w:qFormat/>
    <w:uiPriority w:val="0"/>
    <w:pPr>
      <w:ind w:left="400" w:leftChars="200" w:hanging="200" w:hangingChars="200"/>
    </w:pPr>
  </w:style>
  <w:style w:type="paragraph" w:customStyle="1" w:styleId="49">
    <w:name w:val="BlockQuote"/>
    <w:basedOn w:val="1"/>
    <w:autoRedefine/>
    <w:qFormat/>
    <w:uiPriority w:val="0"/>
    <w:pPr>
      <w:ind w:left="420" w:right="33"/>
      <w:jc w:val="left"/>
    </w:pPr>
    <w:rPr>
      <w:kern w:val="0"/>
      <w:sz w:val="24"/>
      <w:szCs w:val="20"/>
    </w:rPr>
  </w:style>
  <w:style w:type="paragraph" w:customStyle="1" w:styleId="50">
    <w:name w:val="TOC3"/>
    <w:basedOn w:val="1"/>
    <w:next w:val="1"/>
    <w:autoRedefine/>
    <w:qFormat/>
    <w:uiPriority w:val="0"/>
    <w:pPr>
      <w:ind w:left="400" w:leftChars="400"/>
    </w:pPr>
  </w:style>
  <w:style w:type="paragraph" w:customStyle="1" w:styleId="51">
    <w:name w:val="PlainText"/>
    <w:basedOn w:val="1"/>
    <w:autoRedefine/>
    <w:qFormat/>
    <w:uiPriority w:val="0"/>
    <w:rPr>
      <w:rFonts w:ascii="宋体"/>
      <w:szCs w:val="21"/>
    </w:rPr>
  </w:style>
  <w:style w:type="paragraph" w:customStyle="1" w:styleId="52">
    <w:name w:val="BodyTextIndent2"/>
    <w:basedOn w:val="1"/>
    <w:autoRedefine/>
    <w:qFormat/>
    <w:uiPriority w:val="0"/>
    <w:pPr>
      <w:spacing w:after="120" w:line="480" w:lineRule="auto"/>
      <w:ind w:left="200" w:leftChars="200"/>
    </w:pPr>
  </w:style>
  <w:style w:type="paragraph" w:customStyle="1" w:styleId="53">
    <w:name w:val="Acetate"/>
    <w:basedOn w:val="1"/>
    <w:autoRedefine/>
    <w:qFormat/>
    <w:uiPriority w:val="0"/>
    <w:rPr>
      <w:sz w:val="18"/>
      <w:szCs w:val="18"/>
    </w:rPr>
  </w:style>
  <w:style w:type="paragraph" w:customStyle="1" w:styleId="54">
    <w:name w:val="TOC4"/>
    <w:basedOn w:val="1"/>
    <w:next w:val="1"/>
    <w:autoRedefine/>
    <w:qFormat/>
    <w:uiPriority w:val="0"/>
    <w:pPr>
      <w:jc w:val="left"/>
    </w:pPr>
    <w:rPr>
      <w:rFonts w:ascii="宋体" w:cs="Times New Roman"/>
      <w:b/>
      <w:bCs/>
      <w:color w:val="000000"/>
      <w:kern w:val="0"/>
      <w:sz w:val="28"/>
      <w:szCs w:val="28"/>
    </w:rPr>
  </w:style>
  <w:style w:type="paragraph" w:customStyle="1" w:styleId="55">
    <w:name w:val="BodyTextIndent3"/>
    <w:basedOn w:val="1"/>
    <w:autoRedefine/>
    <w:qFormat/>
    <w:uiPriority w:val="0"/>
    <w:pPr>
      <w:spacing w:line="360" w:lineRule="auto"/>
      <w:ind w:firstLine="540"/>
    </w:pPr>
    <w:rPr>
      <w:rFonts w:ascii="宋体"/>
      <w:color w:val="000000"/>
      <w:kern w:val="0"/>
      <w:sz w:val="24"/>
      <w:szCs w:val="20"/>
    </w:rPr>
  </w:style>
  <w:style w:type="paragraph" w:customStyle="1" w:styleId="56">
    <w:name w:val="TOC2"/>
    <w:basedOn w:val="1"/>
    <w:next w:val="1"/>
    <w:autoRedefine/>
    <w:qFormat/>
    <w:uiPriority w:val="0"/>
    <w:pPr>
      <w:ind w:left="200" w:leftChars="200"/>
    </w:pPr>
  </w:style>
  <w:style w:type="paragraph" w:customStyle="1" w:styleId="57">
    <w:name w:val="HtmlNormal"/>
    <w:basedOn w:val="1"/>
    <w:autoRedefine/>
    <w:qFormat/>
    <w:uiPriority w:val="0"/>
    <w:pPr>
      <w:spacing w:before="100" w:beforeAutospacing="1" w:after="100" w:afterAutospacing="1"/>
      <w:jc w:val="left"/>
    </w:pPr>
    <w:rPr>
      <w:kern w:val="0"/>
      <w:sz w:val="24"/>
    </w:rPr>
  </w:style>
  <w:style w:type="paragraph" w:customStyle="1" w:styleId="58">
    <w:name w:val="AnnotationSubject"/>
    <w:basedOn w:val="46"/>
    <w:next w:val="46"/>
    <w:autoRedefine/>
    <w:qFormat/>
    <w:uiPriority w:val="0"/>
    <w:pPr>
      <w:spacing w:line="240" w:lineRule="auto"/>
      <w:textAlignment w:val="auto"/>
    </w:pPr>
    <w:rPr>
      <w:rFonts w:cs="Times New Roman"/>
      <w:b/>
      <w:bCs/>
      <w:kern w:val="2"/>
      <w:sz w:val="21"/>
      <w:szCs w:val="24"/>
    </w:rPr>
  </w:style>
  <w:style w:type="paragraph" w:customStyle="1" w:styleId="59">
    <w:name w:val="BodyText1I"/>
    <w:basedOn w:val="47"/>
    <w:autoRedefine/>
    <w:qFormat/>
    <w:uiPriority w:val="0"/>
    <w:pPr>
      <w:ind w:firstLine="100" w:firstLineChars="100"/>
    </w:pPr>
  </w:style>
  <w:style w:type="character" w:customStyle="1" w:styleId="60">
    <w:name w:val="PageNumber"/>
    <w:autoRedefine/>
    <w:qFormat/>
    <w:uiPriority w:val="0"/>
  </w:style>
  <w:style w:type="character" w:customStyle="1" w:styleId="61">
    <w:name w:val="HtmlDfn"/>
    <w:autoRedefine/>
    <w:qFormat/>
    <w:uiPriority w:val="0"/>
    <w:rPr>
      <w:i/>
    </w:rPr>
  </w:style>
  <w:style w:type="character" w:customStyle="1" w:styleId="62">
    <w:name w:val="HtmlCode"/>
    <w:autoRedefine/>
    <w:qFormat/>
    <w:uiPriority w:val="0"/>
    <w:rPr>
      <w:rFonts w:ascii="Consolas" w:hAnsi="Consolas" w:eastAsia="Consolas"/>
      <w:sz w:val="21"/>
      <w:szCs w:val="21"/>
    </w:rPr>
  </w:style>
  <w:style w:type="character" w:customStyle="1" w:styleId="63">
    <w:name w:val="AnnotationReference"/>
    <w:autoRedefine/>
    <w:qFormat/>
    <w:uiPriority w:val="0"/>
    <w:rPr>
      <w:sz w:val="21"/>
      <w:szCs w:val="21"/>
    </w:rPr>
  </w:style>
  <w:style w:type="character" w:customStyle="1" w:styleId="64">
    <w:name w:val="HtmlKbd"/>
    <w:autoRedefine/>
    <w:qFormat/>
    <w:uiPriority w:val="0"/>
    <w:rPr>
      <w:rFonts w:ascii="Consolas" w:hAnsi="Consolas" w:eastAsia="Consolas"/>
      <w:sz w:val="21"/>
      <w:szCs w:val="21"/>
    </w:rPr>
  </w:style>
  <w:style w:type="character" w:customStyle="1" w:styleId="65">
    <w:name w:val="htmlSamp"/>
    <w:autoRedefine/>
    <w:qFormat/>
    <w:uiPriority w:val="0"/>
    <w:rPr>
      <w:rFonts w:ascii="Consolas" w:hAnsi="Consolas" w:eastAsia="Consolas"/>
      <w:sz w:val="21"/>
      <w:szCs w:val="21"/>
    </w:rPr>
  </w:style>
  <w:style w:type="character" w:customStyle="1" w:styleId="66">
    <w:name w:val="UserStyle_1"/>
    <w:autoRedefine/>
    <w:qFormat/>
    <w:uiPriority w:val="0"/>
    <w:rPr>
      <w:shd w:val="clear" w:color="auto" w:fill="0F74A8"/>
    </w:rPr>
  </w:style>
  <w:style w:type="character" w:customStyle="1" w:styleId="67">
    <w:name w:val="UserStyle_2"/>
    <w:autoRedefine/>
    <w:qFormat/>
    <w:uiPriority w:val="0"/>
  </w:style>
  <w:style w:type="character" w:customStyle="1" w:styleId="68">
    <w:name w:val="UserStyle_3"/>
    <w:autoRedefine/>
    <w:qFormat/>
    <w:uiPriority w:val="0"/>
  </w:style>
  <w:style w:type="character" w:customStyle="1" w:styleId="69">
    <w:name w:val="UserStyle_4"/>
    <w:autoRedefine/>
    <w:qFormat/>
    <w:uiPriority w:val="0"/>
  </w:style>
  <w:style w:type="character" w:customStyle="1" w:styleId="70">
    <w:name w:val="UserStyle_5"/>
    <w:autoRedefine/>
    <w:qFormat/>
    <w:uiPriority w:val="0"/>
  </w:style>
  <w:style w:type="character" w:customStyle="1" w:styleId="71">
    <w:name w:val="UserStyle_6"/>
    <w:autoRedefine/>
    <w:qFormat/>
    <w:uiPriority w:val="0"/>
    <w:rPr>
      <w:rFonts w:ascii="宋体" w:eastAsia="宋体"/>
      <w:sz w:val="28"/>
      <w:szCs w:val="28"/>
    </w:rPr>
  </w:style>
  <w:style w:type="character" w:customStyle="1" w:styleId="72">
    <w:name w:val="UserStyle_7"/>
    <w:autoRedefine/>
    <w:qFormat/>
    <w:uiPriority w:val="0"/>
  </w:style>
  <w:style w:type="character" w:customStyle="1" w:styleId="73">
    <w:name w:val="UserStyle_8"/>
    <w:autoRedefine/>
    <w:qFormat/>
    <w:uiPriority w:val="0"/>
    <w:rPr>
      <w:bdr w:val="single" w:color="000000" w:sz="90" w:space="0"/>
      <w:shd w:val="clear" w:color="auto" w:fill="BFF3C3"/>
    </w:rPr>
  </w:style>
  <w:style w:type="character" w:customStyle="1" w:styleId="74">
    <w:name w:val="UserStyle_9"/>
    <w:autoRedefine/>
    <w:qFormat/>
    <w:uiPriority w:val="0"/>
    <w:rPr>
      <w:color w:val="FF0000"/>
    </w:rPr>
  </w:style>
  <w:style w:type="character" w:customStyle="1" w:styleId="75">
    <w:name w:val="UserStyle_10"/>
    <w:autoRedefine/>
    <w:qFormat/>
    <w:uiPriority w:val="0"/>
  </w:style>
  <w:style w:type="character" w:customStyle="1" w:styleId="76">
    <w:name w:val="UserStyle_11"/>
    <w:autoRedefine/>
    <w:qFormat/>
    <w:uiPriority w:val="0"/>
    <w:rPr>
      <w:color w:val="9A9A9A"/>
    </w:rPr>
  </w:style>
  <w:style w:type="character" w:customStyle="1" w:styleId="77">
    <w:name w:val="UserStyle_12"/>
    <w:autoRedefine/>
    <w:qFormat/>
    <w:uiPriority w:val="0"/>
    <w:rPr>
      <w:b/>
      <w:color w:val="484848"/>
      <w:sz w:val="16"/>
      <w:szCs w:val="16"/>
    </w:rPr>
  </w:style>
  <w:style w:type="character" w:customStyle="1" w:styleId="78">
    <w:name w:val="UserStyle_13"/>
    <w:autoRedefine/>
    <w:qFormat/>
    <w:uiPriority w:val="0"/>
  </w:style>
  <w:style w:type="character" w:customStyle="1" w:styleId="79">
    <w:name w:val="UserStyle_14"/>
    <w:autoRedefine/>
    <w:qFormat/>
    <w:uiPriority w:val="0"/>
  </w:style>
  <w:style w:type="character" w:customStyle="1" w:styleId="80">
    <w:name w:val="UserStyle_15"/>
    <w:autoRedefine/>
    <w:qFormat/>
    <w:uiPriority w:val="0"/>
    <w:rPr>
      <w:bdr w:val="single" w:color="000000" w:sz="220" w:space="0"/>
      <w:shd w:val="clear" w:color="auto" w:fill="A9E2FF"/>
    </w:rPr>
  </w:style>
  <w:style w:type="character" w:customStyle="1" w:styleId="81">
    <w:name w:val="UserStyle_16"/>
    <w:autoRedefine/>
    <w:qFormat/>
    <w:uiPriority w:val="0"/>
  </w:style>
  <w:style w:type="character" w:customStyle="1" w:styleId="82">
    <w:name w:val="UserStyle_17"/>
    <w:autoRedefine/>
    <w:qFormat/>
    <w:uiPriority w:val="0"/>
    <w:rPr>
      <w:bdr w:val="single" w:color="000000" w:sz="72" w:space="0"/>
      <w:shd w:val="clear" w:color="auto" w:fill="A9E3FF"/>
    </w:rPr>
  </w:style>
  <w:style w:type="character" w:customStyle="1" w:styleId="83">
    <w:name w:val="UserStyle_18"/>
    <w:autoRedefine/>
    <w:qFormat/>
    <w:uiPriority w:val="0"/>
  </w:style>
  <w:style w:type="character" w:customStyle="1" w:styleId="84">
    <w:name w:val="UserStyle_19"/>
    <w:autoRedefine/>
    <w:qFormat/>
    <w:uiPriority w:val="0"/>
  </w:style>
  <w:style w:type="character" w:customStyle="1" w:styleId="85">
    <w:name w:val="UserStyle_20"/>
    <w:autoRedefine/>
    <w:qFormat/>
    <w:uiPriority w:val="0"/>
    <w:rPr>
      <w:color w:val="FF0000"/>
    </w:rPr>
  </w:style>
  <w:style w:type="character" w:customStyle="1" w:styleId="86">
    <w:name w:val="UserStyle_21"/>
    <w:autoRedefine/>
    <w:qFormat/>
    <w:uiPriority w:val="0"/>
    <w:rPr>
      <w:bdr w:val="single" w:color="000000" w:sz="244" w:space="0"/>
      <w:shd w:val="clear" w:color="auto" w:fill="FFE8CC"/>
    </w:rPr>
  </w:style>
  <w:style w:type="character" w:customStyle="1" w:styleId="87">
    <w:name w:val="UserStyle_22"/>
    <w:autoRedefine/>
    <w:qFormat/>
    <w:uiPriority w:val="0"/>
  </w:style>
  <w:style w:type="character" w:customStyle="1" w:styleId="88">
    <w:name w:val="UserStyle_23"/>
    <w:autoRedefine/>
    <w:qFormat/>
    <w:uiPriority w:val="0"/>
  </w:style>
  <w:style w:type="character" w:customStyle="1" w:styleId="89">
    <w:name w:val="UserStyle_24"/>
    <w:autoRedefine/>
    <w:qFormat/>
    <w:uiPriority w:val="0"/>
  </w:style>
  <w:style w:type="character" w:customStyle="1" w:styleId="90">
    <w:name w:val="UserStyle_25"/>
    <w:autoRedefine/>
    <w:qFormat/>
    <w:uiPriority w:val="0"/>
    <w:rPr>
      <w:bdr w:val="single" w:color="000000" w:sz="128" w:space="0"/>
    </w:rPr>
  </w:style>
  <w:style w:type="character" w:customStyle="1" w:styleId="91">
    <w:name w:val="UserStyle_26"/>
    <w:autoRedefine/>
    <w:qFormat/>
    <w:uiPriority w:val="0"/>
  </w:style>
  <w:style w:type="character" w:customStyle="1" w:styleId="92">
    <w:name w:val="UserStyle_27"/>
    <w:autoRedefine/>
    <w:qFormat/>
    <w:uiPriority w:val="0"/>
  </w:style>
  <w:style w:type="character" w:customStyle="1" w:styleId="93">
    <w:name w:val="UserStyle_28"/>
    <w:autoRedefine/>
    <w:qFormat/>
    <w:uiPriority w:val="0"/>
  </w:style>
  <w:style w:type="character" w:customStyle="1" w:styleId="94">
    <w:name w:val="UserStyle_29"/>
    <w:autoRedefine/>
    <w:qFormat/>
    <w:uiPriority w:val="0"/>
    <w:rPr>
      <w:b/>
      <w:color w:val="484848"/>
      <w:sz w:val="16"/>
      <w:szCs w:val="16"/>
    </w:rPr>
  </w:style>
  <w:style w:type="character" w:customStyle="1" w:styleId="95">
    <w:name w:val="UserStyle_30"/>
    <w:autoRedefine/>
    <w:qFormat/>
    <w:uiPriority w:val="0"/>
  </w:style>
  <w:style w:type="paragraph" w:customStyle="1" w:styleId="96">
    <w:name w:val="UserStyle_31"/>
    <w:basedOn w:val="1"/>
    <w:autoRedefine/>
    <w:qFormat/>
    <w:uiPriority w:val="0"/>
    <w:pPr>
      <w:ind w:firstLine="200" w:firstLineChars="200"/>
    </w:pPr>
    <w:rPr>
      <w:rFonts w:ascii="Calibri" w:hAnsi="Calibri"/>
      <w:szCs w:val="22"/>
    </w:rPr>
  </w:style>
  <w:style w:type="paragraph" w:customStyle="1" w:styleId="97">
    <w:name w:val="UserStyle_32"/>
    <w:basedOn w:val="36"/>
    <w:autoRedefine/>
    <w:qFormat/>
    <w:uiPriority w:val="0"/>
    <w:pPr>
      <w:spacing w:before="0" w:after="0" w:line="400" w:lineRule="exact"/>
    </w:pPr>
    <w:rPr>
      <w:rFonts w:eastAsia="黑体"/>
      <w:b w:val="0"/>
      <w:bCs w:val="0"/>
      <w:sz w:val="24"/>
      <w:szCs w:val="20"/>
    </w:rPr>
  </w:style>
  <w:style w:type="paragraph" w:customStyle="1" w:styleId="98">
    <w:name w:val="UserStyle_33"/>
    <w:basedOn w:val="1"/>
    <w:autoRedefine/>
    <w:qFormat/>
    <w:uiPriority w:val="0"/>
    <w:pPr>
      <w:spacing w:after="160" w:line="240" w:lineRule="exact"/>
      <w:jc w:val="left"/>
    </w:pPr>
    <w:rPr>
      <w:rFonts w:ascii="Verdana" w:hAnsi="Verdana" w:eastAsia="Times New Roman"/>
      <w:kern w:val="0"/>
      <w:sz w:val="24"/>
      <w:szCs w:val="20"/>
    </w:rPr>
  </w:style>
  <w:style w:type="paragraph" w:customStyle="1" w:styleId="99">
    <w:name w:val="UserStyle_34"/>
    <w:basedOn w:val="1"/>
    <w:autoRedefine/>
    <w:qFormat/>
    <w:uiPriority w:val="0"/>
  </w:style>
  <w:style w:type="paragraph" w:customStyle="1" w:styleId="100">
    <w:name w:val="UserStyle_35"/>
    <w:basedOn w:val="34"/>
    <w:next w:val="1"/>
    <w:autoRedefine/>
    <w:qFormat/>
    <w:uiPriority w:val="0"/>
    <w:pPr>
      <w:numPr>
        <w:ilvl w:val="0"/>
        <w:numId w:val="2"/>
      </w:numPr>
      <w:tabs>
        <w:tab w:val="left" w:pos="8280"/>
      </w:tabs>
      <w:spacing w:before="250" w:after="50" w:line="240" w:lineRule="auto"/>
      <w:ind w:left="420" w:firstLine="150" w:firstLineChars="150"/>
    </w:pPr>
    <w:rPr>
      <w:rFonts w:ascii="宋体" w:eastAsia="宋体" w:cs="宋体"/>
      <w:bCs/>
      <w:color w:val="000000"/>
      <w:sz w:val="32"/>
      <w:szCs w:val="32"/>
    </w:rPr>
  </w:style>
  <w:style w:type="paragraph" w:customStyle="1" w:styleId="101">
    <w:name w:val="UserStyle_36"/>
    <w:basedOn w:val="1"/>
    <w:autoRedefine/>
    <w:qFormat/>
    <w:uiPriority w:val="0"/>
  </w:style>
  <w:style w:type="paragraph" w:customStyle="1" w:styleId="102">
    <w:name w:val="UserStyle_37"/>
    <w:basedOn w:val="1"/>
    <w:autoRedefine/>
    <w:qFormat/>
    <w:uiPriority w:val="0"/>
    <w:pPr>
      <w:spacing w:before="100" w:after="100"/>
      <w:ind w:left="360" w:right="360"/>
      <w:jc w:val="left"/>
    </w:pPr>
    <w:rPr>
      <w:kern w:val="0"/>
      <w:sz w:val="24"/>
      <w:szCs w:val="20"/>
    </w:rPr>
  </w:style>
  <w:style w:type="paragraph" w:customStyle="1" w:styleId="103">
    <w:name w:val="178"/>
    <w:autoRedefine/>
    <w:qFormat/>
    <w:uiPriority w:val="0"/>
    <w:pPr>
      <w:textAlignment w:val="baseline"/>
    </w:pPr>
    <w:rPr>
      <w:rFonts w:ascii="Times New Roman" w:hAnsi="Times New Roman" w:eastAsia="宋体" w:cs="Arial"/>
      <w:kern w:val="2"/>
      <w:sz w:val="21"/>
      <w:szCs w:val="24"/>
      <w:lang w:val="en-US" w:eastAsia="zh-CN" w:bidi="ar-SA"/>
    </w:rPr>
  </w:style>
  <w:style w:type="paragraph" w:customStyle="1" w:styleId="104">
    <w:name w:val="UserStyle_38"/>
    <w:basedOn w:val="1"/>
    <w:autoRedefine/>
    <w:qFormat/>
    <w:uiPriority w:val="0"/>
    <w:pPr>
      <w:numPr>
        <w:ilvl w:val="0"/>
        <w:numId w:val="3"/>
      </w:numPr>
    </w:pPr>
  </w:style>
  <w:style w:type="paragraph" w:customStyle="1" w:styleId="105">
    <w:name w:val="UserStyle_39"/>
    <w:basedOn w:val="34"/>
    <w:autoRedefine/>
    <w:qFormat/>
    <w:uiPriority w:val="0"/>
    <w:pPr>
      <w:spacing w:before="100" w:after="0" w:line="400" w:lineRule="exact"/>
      <w:jc w:val="both"/>
    </w:pPr>
    <w:rPr>
      <w:rFonts w:ascii="Times New Roman" w:hAnsi="Times New Roman"/>
      <w:b w:val="0"/>
      <w:kern w:val="2"/>
      <w:sz w:val="28"/>
    </w:rPr>
  </w:style>
  <w:style w:type="paragraph" w:customStyle="1" w:styleId="106">
    <w:name w:val="UserStyle_40"/>
    <w:basedOn w:val="1"/>
    <w:autoRedefine/>
    <w:qFormat/>
    <w:uiPriority w:val="0"/>
    <w:pPr>
      <w:spacing w:before="120" w:after="120" w:line="300" w:lineRule="auto"/>
    </w:pPr>
    <w:rPr>
      <w:rFonts w:ascii="宋体"/>
      <w:b/>
      <w:sz w:val="24"/>
      <w:szCs w:val="20"/>
    </w:rPr>
  </w:style>
  <w:style w:type="paragraph" w:customStyle="1" w:styleId="107">
    <w:name w:val="UserStyle_41"/>
    <w:basedOn w:val="1"/>
    <w:autoRedefine/>
    <w:qFormat/>
    <w:uiPriority w:val="0"/>
    <w:pPr>
      <w:spacing w:line="480" w:lineRule="auto"/>
      <w:jc w:val="left"/>
    </w:pPr>
    <w:rPr>
      <w:rFonts w:ascii="宋体"/>
      <w:kern w:val="0"/>
      <w:sz w:val="24"/>
      <w:szCs w:val="20"/>
    </w:rPr>
  </w:style>
  <w:style w:type="paragraph" w:customStyle="1" w:styleId="108">
    <w:name w:val="UserStyle_42"/>
    <w:basedOn w:val="1"/>
    <w:autoRedefine/>
    <w:qFormat/>
    <w:uiPriority w:val="0"/>
    <w:pPr>
      <w:ind w:firstLine="200" w:firstLineChars="200"/>
    </w:pPr>
    <w:rPr>
      <w:rFonts w:ascii="Calibri" w:hAnsi="Calibri"/>
      <w:szCs w:val="22"/>
    </w:rPr>
  </w:style>
  <w:style w:type="paragraph" w:customStyle="1" w:styleId="109">
    <w:name w:val="样式 标题 3 + (中文) 黑体 小四 非加粗 段前: 7.8 磅 段后: 0 磅 行距: 固定值 20 磅"/>
    <w:basedOn w:val="8"/>
    <w:next w:val="1"/>
    <w:autoRedefine/>
    <w:qFormat/>
    <w:uiPriority w:val="0"/>
    <w:pPr>
      <w:spacing w:before="0" w:after="0" w:line="400" w:lineRule="exact"/>
    </w:pPr>
    <w:rPr>
      <w:rFonts w:eastAsia="黑体" w:cs="黑体"/>
      <w:b w:val="0"/>
      <w:bCs w:val="0"/>
      <w:sz w:val="24"/>
      <w:szCs w:val="24"/>
    </w:rPr>
  </w:style>
  <w:style w:type="paragraph" w:customStyle="1" w:styleId="110">
    <w:name w:val="正文1"/>
    <w:basedOn w:val="1"/>
    <w:qFormat/>
    <w:uiPriority w:val="0"/>
    <w:pPr>
      <w:adjustRightInd w:val="0"/>
      <w:spacing w:line="318" w:lineRule="atLeast"/>
      <w:ind w:left="369" w:firstLine="369"/>
      <w:textAlignment w:val="baseline"/>
    </w:pPr>
    <w:rPr>
      <w:rFonts w:ascii="宋体"/>
      <w:szCs w:val="20"/>
    </w:rPr>
  </w:style>
  <w:style w:type="paragraph" w:customStyle="1" w:styleId="111">
    <w:name w:val="纯文本1"/>
    <w:basedOn w:val="110"/>
    <w:autoRedefine/>
    <w:qFormat/>
    <w:uiPriority w:val="0"/>
    <w:pPr>
      <w:jc w:val="left"/>
    </w:pPr>
    <w:rPr>
      <w:rFonts w:ascii="宋体"/>
      <w:szCs w:val="20"/>
    </w:rPr>
  </w:style>
  <w:style w:type="paragraph" w:customStyle="1" w:styleId="112">
    <w:name w:val="列出段落1"/>
    <w:basedOn w:val="1"/>
    <w:autoRedefine/>
    <w:qFormat/>
    <w:uiPriority w:val="0"/>
    <w:pPr>
      <w:ind w:firstLine="200" w:firstLineChars="200"/>
    </w:pPr>
  </w:style>
  <w:style w:type="paragraph" w:customStyle="1" w:styleId="113">
    <w:name w:val="样式1"/>
    <w:autoRedefine/>
    <w:qFormat/>
    <w:uiPriority w:val="0"/>
    <w:pPr>
      <w:widowControl w:val="0"/>
      <w:spacing w:before="120" w:after="120" w:line="300" w:lineRule="auto"/>
      <w:jc w:val="both"/>
    </w:pPr>
    <w:rPr>
      <w:rFonts w:ascii="宋体" w:hAnsi="Times New Roman" w:eastAsia="宋体" w:cs="Times New Roman"/>
      <w:b/>
      <w:kern w:val="2"/>
      <w:sz w:val="24"/>
      <w:szCs w:val="20"/>
      <w:lang w:val="en-US" w:eastAsia="zh-CN" w:bidi="ar-SA"/>
    </w:rPr>
  </w:style>
  <w:style w:type="paragraph" w:customStyle="1" w:styleId="114">
    <w:name w:val="列出段落2"/>
    <w:basedOn w:val="1"/>
    <w:autoRedefine/>
    <w:qFormat/>
    <w:uiPriority w:val="0"/>
    <w:pPr>
      <w:ind w:firstLine="200" w:firstLineChars="200"/>
    </w:pPr>
  </w:style>
  <w:style w:type="paragraph" w:customStyle="1" w:styleId="115">
    <w:name w:val="正文2"/>
    <w:basedOn w:val="1"/>
    <w:autoRedefine/>
    <w:qFormat/>
    <w:uiPriority w:val="0"/>
    <w:pPr>
      <w:spacing w:line="360" w:lineRule="auto"/>
      <w:ind w:firstLine="200" w:firstLineChars="200"/>
    </w:pPr>
    <w:rPr>
      <w:sz w:val="24"/>
      <w:szCs w:val="20"/>
    </w:rPr>
  </w:style>
  <w:style w:type="character" w:customStyle="1" w:styleId="116">
    <w:name w:val="NormalCharacter"/>
    <w:autoRedefine/>
    <w:qFormat/>
    <w:uiPriority w:val="0"/>
    <w:rPr>
      <w:rFonts w:ascii="Times New Roman" w:hAnsi="Times New Roman" w:eastAsia="宋体" w:cs="Arial"/>
      <w:kern w:val="2"/>
      <w:sz w:val="21"/>
      <w:szCs w:val="24"/>
      <w:lang w:val="en-US" w:eastAsia="zh-CN" w:bidi="ar-SA"/>
    </w:rPr>
  </w:style>
  <w:style w:type="paragraph" w:customStyle="1" w:styleId="117">
    <w:name w:val="正文 New New New New New New New New New"/>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8">
    <w:name w:val="WPSOffice手动目录 1"/>
    <w:autoRedefine/>
    <w:qFormat/>
    <w:uiPriority w:val="0"/>
    <w:rPr>
      <w:rFonts w:ascii="Times New Roman" w:hAnsi="Times New Roman" w:eastAsia="宋体" w:cs="Arial"/>
      <w:sz w:val="20"/>
      <w:szCs w:val="20"/>
      <w:lang w:val="en-US" w:eastAsia="zh-CN" w:bidi="ar-SA"/>
    </w:rPr>
  </w:style>
  <w:style w:type="paragraph" w:customStyle="1" w:styleId="119">
    <w:name w:val="List Paragraph"/>
    <w:basedOn w:val="1"/>
    <w:qFormat/>
    <w:uiPriority w:val="0"/>
    <w:pPr>
      <w:ind w:firstLine="200" w:firstLineChars="200"/>
    </w:pPr>
    <w:rPr>
      <w:rFonts w:ascii="Calibri" w:hAnsi="Calibri"/>
      <w:szCs w:val="22"/>
    </w:rPr>
  </w:style>
  <w:style w:type="paragraph" w:customStyle="1" w:styleId="120">
    <w:name w:val="1级标题"/>
    <w:basedOn w:val="119"/>
    <w:qFormat/>
    <w:uiPriority w:val="0"/>
    <w:pPr>
      <w:numPr>
        <w:ilvl w:val="0"/>
        <w:numId w:val="4"/>
      </w:numPr>
      <w:spacing w:before="100" w:beforeLines="100" w:after="50" w:afterLines="50"/>
      <w:ind w:firstLineChars="0"/>
      <w:outlineLvl w:val="2"/>
    </w:pPr>
    <w:rPr>
      <w:rFonts w:ascii="微软雅黑" w:eastAsia="微软雅黑"/>
      <w:kern w:val="0"/>
      <w:sz w:val="21"/>
      <w:szCs w:val="28"/>
    </w:rPr>
  </w:style>
  <w:style w:type="paragraph" w:customStyle="1" w:styleId="121">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35</Pages>
  <Words>4982</Words>
  <Characters>5417</Characters>
  <Lines>1163</Lines>
  <Paragraphs>719</Paragraphs>
  <TotalTime>4</TotalTime>
  <ScaleCrop>false</ScaleCrop>
  <LinksUpToDate>false</LinksUpToDate>
  <CharactersWithSpaces>5507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2022-11-15T01:12:00Z</dcterms:created>
  <dc:creator>Administrator</dc:creator>
  <cp:lastModifiedBy>Admin</cp:lastModifiedBy>
  <cp:lastPrinted>2023-02-16T08:35:00Z</cp:lastPrinted>
  <dcterms:modified xsi:type="dcterms:W3CDTF">2025-04-08T08:38:40Z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0F4C719C98AF49CE924370C3AED82F14_13</vt:lpwstr>
  </property>
  <property fmtid="{D5CDD505-2E9C-101B-9397-08002B2CF9AE}" pid="4" name="KSOTemplateDocerSaveRecord">
    <vt:lpwstr>eyJoZGlkIjoiMTIyOTkzZGI3YTQ0YmQ1MzM5ZDJlNjY2ZmJmN2E0NDgiLCJ1c2VySWQiOiIyNTUzNzEyNjkifQ==</vt:lpwstr>
  </property>
</Properties>
</file>